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20" w:type="dxa"/>
          <w:bottom w:w="60" w:type="dxa"/>
          <w:right w:w="120" w:type="dxa"/>
        </w:tblCellMar>
      </w:tblPr>
      <w:tblGrid>
        <w:gridCol w:w="1853"/>
        <w:gridCol w:w="430"/>
        <w:gridCol w:w="430"/>
        <w:gridCol w:w="1402"/>
        <w:gridCol w:w="4567"/>
        <w:gridCol w:w="1162"/>
        <w:gridCol w:w="2518"/>
        <w:gridCol w:w="17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中央对地方转移支付区域绩效目标表医疗救助补助资金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（提高深度贫困地区农村贫困人口医疗保障水平部分）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转移支付（项目）名称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医疗救助补助资金（提高深度贫困地区农村贫困人口医疗保障水平部分）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中央主管部门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国家医疗保障局、国家卫生健康委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省级财政部门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广西壮族自治区财政厅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省级主管部门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自治区医保局、自治区财政厅、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自治区卫生健康委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资金情况（万元）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年度资金总额：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22152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其中：中央补助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22152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97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     地方资金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年度总体目标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目标1：将符合条件的农村贫困人口纳入保障范围；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目标2：严格管控医疗费用；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目标3：立足现有制度提供保障；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目标4：合理确定农村贫困人口保障水平；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目标5：确保各项保障措施有效衔接。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32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68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绩效指标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三级指标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全年完成值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未完成原因和改进措施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20" w:type="dxa"/>
            <w:bottom w:w="60" w:type="dxa"/>
            <w:right w:w="120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产出指标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数量指标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政策覆盖“三区三州”及其他深度贫困地区的农村贫困人口数量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全覆盖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对符合条件的农村贫困人口全覆盖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11600BD5"/>
    <w:rsid w:val="11600BD5"/>
    <w:rsid w:val="17A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378</Characters>
  <Lines>0</Lines>
  <Paragraphs>0</Paragraphs>
  <TotalTime>7</TotalTime>
  <ScaleCrop>false</ScaleCrop>
  <LinksUpToDate>false</LinksUpToDate>
  <CharactersWithSpaces>378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2022-07-15T11:09:00Z</dcterms:created>
  <dc:creator>田泰亨</dc:creator>
  <cp:lastModifiedBy>田泰亨</cp:lastModifiedBy>
  <dcterms:modified xsi:type="dcterms:W3CDTF">2022-07-15T11:19:09Z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CEDB00112F8A43E89C06154400F740B6</vt:lpwstr>
  </property>
</Properties>
</file>