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2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080"/>
        <w:gridCol w:w="945"/>
        <w:gridCol w:w="1890"/>
        <w:gridCol w:w="1815"/>
        <w:gridCol w:w="1545"/>
        <w:gridCol w:w="1515"/>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30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pacing w:val="0"/>
                <w:kern w:val="0"/>
                <w:position w:val="0"/>
                <w:sz w:val="21"/>
                <w:szCs w:val="21"/>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230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spacing w:val="0"/>
                <w:kern w:val="0"/>
                <w:position w:val="0"/>
                <w:sz w:val="21"/>
                <w:szCs w:val="21"/>
                <w:u w:val="none"/>
                <w:lang w:val="en-US" w:eastAsia="zh-CN" w:bidi="ar"/>
              </w:rPr>
              <w:t>中央对地方转移支付绩效目标自评表医疗服务与保障能力提升补助资金</w:t>
            </w:r>
            <w:r>
              <w:rPr>
                <w:rFonts w:hint="eastAsia" w:ascii="宋体" w:hAnsi="宋体" w:eastAsia="宋体" w:cs="宋体"/>
                <w:b/>
                <w:i w:val="0"/>
                <w:color w:val="000000"/>
                <w:spacing w:val="0"/>
                <w:kern w:val="0"/>
                <w:position w:val="0"/>
                <w:sz w:val="21"/>
                <w:szCs w:val="21"/>
                <w:u w:val="none"/>
                <w:lang w:val="en-US" w:eastAsia="zh-CN" w:bidi="ar"/>
              </w:rPr>
              <w:br w:type="textWrapping"/>
            </w:r>
            <w:r>
              <w:rPr>
                <w:rFonts w:hint="eastAsia" w:ascii="宋体" w:hAnsi="宋体" w:eastAsia="宋体" w:cs="宋体"/>
                <w:b/>
                <w:i w:val="0"/>
                <w:color w:val="000000"/>
                <w:spacing w:val="0"/>
                <w:kern w:val="0"/>
                <w:position w:val="0"/>
                <w:sz w:val="21"/>
                <w:szCs w:val="21"/>
                <w:u w:val="none"/>
                <w:lang w:val="en-US" w:eastAsia="zh-CN" w:bidi="ar"/>
              </w:rPr>
              <w:t>（医疗保障能力提升部分）区域绩效目标自评表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230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转移支付（项目）名称</w:t>
            </w:r>
          </w:p>
        </w:tc>
        <w:tc>
          <w:tcPr>
            <w:tcW w:w="91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2020年中央财政医疗服务与保障能力提升补助资金（医疗保障能力提升部分）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中央主管部门</w:t>
            </w:r>
          </w:p>
        </w:tc>
        <w:tc>
          <w:tcPr>
            <w:tcW w:w="91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国家医疗保障局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地方主管部门</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广西壮族自治区医疗保障局</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实施单位</w:t>
            </w:r>
          </w:p>
        </w:tc>
        <w:tc>
          <w:tcPr>
            <w:tcW w:w="3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广西壮族自治区医疗保障局、各市医疗保障局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全年预算数（A）</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全年执行数（B）</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1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spacing w:val="0"/>
                <w:kern w:val="0"/>
                <w:position w:val="0"/>
                <w:sz w:val="18"/>
                <w:szCs w:val="18"/>
                <w:u w:val="none"/>
                <w:lang w:val="en-US" w:eastAsia="zh-CN" w:bidi="ar"/>
              </w:rPr>
              <w:t>项目资金（万元）</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年度资金总额</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10801</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4760.47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44.07%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其中：中央补助</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10801</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4760.47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44.07%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 xml:space="preserve">      地方资金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1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 xml:space="preserve">      其他资金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9"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spacing w:val="0"/>
                <w:kern w:val="0"/>
                <w:position w:val="0"/>
                <w:sz w:val="18"/>
                <w:szCs w:val="18"/>
                <w:u w:val="none"/>
                <w:lang w:val="en-US" w:eastAsia="zh-CN" w:bidi="ar"/>
              </w:rPr>
              <w:t>年度总体目标</w:t>
            </w:r>
          </w:p>
        </w:tc>
        <w:tc>
          <w:tcPr>
            <w:tcW w:w="57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spacing w:val="0"/>
                <w:kern w:val="0"/>
                <w:position w:val="0"/>
                <w:sz w:val="18"/>
                <w:szCs w:val="18"/>
                <w:u w:val="none"/>
                <w:lang w:val="en-US" w:eastAsia="zh-CN" w:bidi="ar"/>
              </w:rPr>
              <w:t>年初设定目标</w:t>
            </w:r>
          </w:p>
        </w:tc>
        <w:tc>
          <w:tcPr>
            <w:tcW w:w="54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spacing w:val="0"/>
                <w:kern w:val="0"/>
                <w:positio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7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有效提升综合监管、宣传引导、经办服务、信息化建设、人才队伍建设等医疗保障服务能力。</w:t>
            </w:r>
          </w:p>
        </w:tc>
        <w:tc>
          <w:tcPr>
            <w:tcW w:w="54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绩效指标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一级</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二级指标</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三级指标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年度指标值</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全年完成值</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产出指标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数量指标</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召开医保工作省级新闻发布会、政策吹风会</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≥2次</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3次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召开医保工作政府信息公开省级工作会</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≥2次</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2次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医保规范性文件和政策措施的合法性审查、公平竞争审查覆盖率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100%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医保信息系统验收合格率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100%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医保信息系统正常运行率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100%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医保信息系统重大安全事件响应时间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≤60分钟</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30分钟</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医保信息系统运行维护响应时间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≤30分钟</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30分钟</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医保人才培养合格率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100%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定点医药机构监督检查覆盖率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100%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统筹地区内三级定点医疗机构启动DRG付费模拟运行数量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≥1家</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83家</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质量指标</w:t>
            </w: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医保行政机关法制人员配备覆盖率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100%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基金预警和风险防控能力较上年提高</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144.30%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医保经办服务能力较上年提高</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较上年提高了67.86%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医保综合监管能力较上年提高</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185.27%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医保宣传能力较上年提高</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提高了80%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医保标准化水平较上年提高</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提高了80%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跨省异地就医直接结算率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82.30%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组织、参加国家药品（医用耗材）带量采购次数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≥2次</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4次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组织广西药品（医用耗材）带量采购次数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≥1次</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2次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时效指标</w:t>
            </w:r>
          </w:p>
        </w:tc>
        <w:tc>
          <w:tcPr>
            <w:tcW w:w="370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完成15个统筹地区医疗保险信息系统从人社系统剥离并独立运行</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2020年12月前</w:t>
            </w:r>
          </w:p>
        </w:tc>
        <w:tc>
          <w:tcPr>
            <w:tcW w:w="15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完成了14个统筹地区医疗保险信息系统从人社系统剥离并独立运行</w:t>
            </w: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未完成原因：1.受疫情因素影响，系统改造时间被迫推延；2.柳州市原为东软操作系统，现切换为银海操作系统，需改造的接口和数据标准的统一工作量大；3.柳州地区待遇政策体系繁杂，新系统需开发更多的应用满足其精细化管理的需求。</w:t>
            </w:r>
            <w:r>
              <w:rPr>
                <w:rFonts w:hint="eastAsia" w:ascii="宋体" w:hAnsi="宋体" w:eastAsia="宋体" w:cs="宋体"/>
                <w:i w:val="0"/>
                <w:color w:val="000000"/>
                <w:spacing w:val="0"/>
                <w:kern w:val="0"/>
                <w:position w:val="0"/>
                <w:sz w:val="22"/>
                <w:szCs w:val="22"/>
                <w:u w:val="none"/>
                <w:lang w:val="en-US" w:eastAsia="zh-CN" w:bidi="ar"/>
              </w:rPr>
              <w:br w:type="textWrapping"/>
            </w:r>
            <w:r>
              <w:rPr>
                <w:rFonts w:hint="eastAsia" w:ascii="宋体" w:hAnsi="宋体" w:eastAsia="宋体" w:cs="宋体"/>
                <w:i w:val="0"/>
                <w:color w:val="000000"/>
                <w:spacing w:val="0"/>
                <w:kern w:val="0"/>
                <w:position w:val="0"/>
                <w:sz w:val="22"/>
                <w:szCs w:val="22"/>
                <w:u w:val="none"/>
                <w:lang w:val="en-US" w:eastAsia="zh-CN" w:bidi="ar"/>
              </w:rPr>
              <w:t>改进措施：1.加快推进新旧系统的接口以及数据标准统一工作。2.派专项工作组到柳州市开展信息化建设工作调研指导。3.按照计划，柳州市于2021年3月底完成信息系统切换上线。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成本指标</w:t>
            </w:r>
          </w:p>
        </w:tc>
        <w:tc>
          <w:tcPr>
            <w:tcW w:w="370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财政投入</w:t>
            </w:r>
          </w:p>
        </w:tc>
        <w:tc>
          <w:tcPr>
            <w:tcW w:w="15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详见附件1</w:t>
            </w:r>
          </w:p>
        </w:tc>
        <w:tc>
          <w:tcPr>
            <w:tcW w:w="15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执行率44.07%，未超出预算</w:t>
            </w: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效果指标</w:t>
            </w:r>
          </w:p>
        </w:tc>
        <w:tc>
          <w:tcPr>
            <w:tcW w:w="94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社会效益</w:t>
            </w:r>
          </w:p>
        </w:tc>
        <w:tc>
          <w:tcPr>
            <w:tcW w:w="370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组织、参加新一轮药品（医用耗材）带量采购，中选药品（医用耗材）价格降幅</w:t>
            </w:r>
          </w:p>
        </w:tc>
        <w:tc>
          <w:tcPr>
            <w:tcW w:w="15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≥10%</w:t>
            </w:r>
          </w:p>
        </w:tc>
        <w:tc>
          <w:tcPr>
            <w:tcW w:w="15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降幅为75.96%</w:t>
            </w:r>
          </w:p>
        </w:tc>
        <w:tc>
          <w:tcPr>
            <w:tcW w:w="2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满意度指标</w:t>
            </w:r>
          </w:p>
        </w:tc>
        <w:tc>
          <w:tcPr>
            <w:tcW w:w="9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服务对象满意度</w:t>
            </w:r>
          </w:p>
        </w:tc>
        <w:tc>
          <w:tcPr>
            <w:tcW w:w="37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参保人员对医保服务满意度</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kern w:val="0"/>
                <w:position w:val="0"/>
                <w:sz w:val="20"/>
                <w:szCs w:val="20"/>
                <w:u w:val="none"/>
                <w:lang w:val="en-US" w:eastAsia="zh-CN" w:bidi="ar"/>
              </w:rPr>
              <w:t>≥70%</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kern w:val="0"/>
                <w:position w:val="0"/>
                <w:sz w:val="22"/>
                <w:szCs w:val="22"/>
                <w:u w:val="none"/>
                <w:lang w:val="en-US" w:eastAsia="zh-CN" w:bidi="ar"/>
              </w:rPr>
              <w:t>84.39%</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说明</w:t>
            </w:r>
          </w:p>
        </w:tc>
        <w:tc>
          <w:tcPr>
            <w:tcW w:w="1122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请在此处简要说明中央巡视、各级审计和财政监督中发现的问题及其所涉及的金额，如没有请填无。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20" w:hRule="atLeast"/>
        </w:trPr>
        <w:tc>
          <w:tcPr>
            <w:tcW w:w="12300" w:type="dxa"/>
            <w:gridSpan w:val="8"/>
            <w:tcBorders>
              <w:top w:val="nil"/>
              <w:left w:val="single" w:color="000000" w:sz="8" w:space="0"/>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position w:val="0"/>
                <w:sz w:val="18"/>
                <w:szCs w:val="18"/>
                <w:u w:val="none"/>
                <w:lang w:val="en-US" w:eastAsia="zh-CN" w:bidi="ar"/>
              </w:rPr>
              <w:t>注:1.其他资金包括和中央补助、地方</w:t>
            </w:r>
            <w:r>
              <w:rPr>
                <w:rFonts w:hint="eastAsia" w:ascii="宋体" w:hAnsi="宋体" w:cs="宋体"/>
                <w:i w:val="0"/>
                <w:color w:val="000000"/>
                <w:spacing w:val="0"/>
                <w:kern w:val="0"/>
                <w:position w:val="0"/>
                <w:sz w:val="18"/>
                <w:szCs w:val="18"/>
                <w:u w:val="none"/>
                <w:lang w:val="en-US" w:eastAsia="zh-CN" w:bidi="ar"/>
              </w:rPr>
              <w:t>财</w:t>
            </w:r>
            <w:bookmarkStart w:id="0" w:name="_GoBack"/>
            <w:bookmarkEnd w:id="0"/>
            <w:r>
              <w:rPr>
                <w:rFonts w:hint="eastAsia" w:ascii="宋体" w:hAnsi="宋体" w:eastAsia="宋体" w:cs="宋体"/>
                <w:i w:val="0"/>
                <w:color w:val="000000"/>
                <w:spacing w:val="0"/>
                <w:kern w:val="0"/>
                <w:position w:val="0"/>
                <w:sz w:val="18"/>
                <w:szCs w:val="18"/>
                <w:u w:val="none"/>
                <w:lang w:val="en-US" w:eastAsia="zh-CN" w:bidi="ar"/>
              </w:rPr>
              <w:t>政资金共同投入到同一项目的自有资金、社会资金，以及以前年度的结转结余资金等</w:t>
            </w:r>
            <w:r>
              <w:rPr>
                <w:rFonts w:hint="eastAsia" w:ascii="宋体" w:hAnsi="宋体" w:eastAsia="宋体" w:cs="宋体"/>
                <w:i w:val="0"/>
                <w:color w:val="000000"/>
                <w:spacing w:val="0"/>
                <w:kern w:val="0"/>
                <w:position w:val="0"/>
                <w:sz w:val="18"/>
                <w:szCs w:val="18"/>
                <w:u w:val="none"/>
                <w:lang w:val="en-US" w:eastAsia="zh-CN" w:bidi="ar"/>
              </w:rPr>
              <w:br w:type="textWrapping"/>
            </w:r>
            <w:r>
              <w:rPr>
                <w:rFonts w:hint="eastAsia" w:ascii="宋体" w:hAnsi="宋体" w:eastAsia="宋体" w:cs="宋体"/>
                <w:i w:val="0"/>
                <w:color w:val="000000"/>
                <w:spacing w:val="0"/>
                <w:kern w:val="0"/>
                <w:position w:val="0"/>
                <w:sz w:val="18"/>
                <w:szCs w:val="18"/>
                <w:u w:val="none"/>
                <w:lang w:val="en-US" w:eastAsia="zh-CN" w:bidi="ar"/>
              </w:rPr>
              <w:br w:type="textWrapping"/>
            </w:r>
            <w:r>
              <w:rPr>
                <w:rFonts w:hint="eastAsia" w:ascii="宋体" w:hAnsi="宋体" w:eastAsia="宋体" w:cs="宋体"/>
                <w:i w:val="0"/>
                <w:color w:val="000000"/>
                <w:spacing w:val="0"/>
                <w:kern w:val="0"/>
                <w:position w:val="0"/>
                <w:sz w:val="18"/>
                <w:szCs w:val="18"/>
                <w:u w:val="none"/>
                <w:lang w:val="en-US" w:eastAsia="zh-CN" w:bidi="ar"/>
              </w:rPr>
              <w:t>2.定量指标，资金使用单位填写本地区实际完成数。財政和主管部门汇总时，对绝对值直接累加计算，相对值按照资金颗度加权平均计算</w:t>
            </w:r>
            <w:r>
              <w:rPr>
                <w:rFonts w:hint="eastAsia" w:ascii="宋体" w:hAnsi="宋体" w:eastAsia="宋体" w:cs="宋体"/>
                <w:i w:val="0"/>
                <w:color w:val="000000"/>
                <w:spacing w:val="0"/>
                <w:kern w:val="0"/>
                <w:position w:val="0"/>
                <w:sz w:val="18"/>
                <w:szCs w:val="18"/>
                <w:u w:val="none"/>
                <w:lang w:val="en-US" w:eastAsia="zh-CN" w:bidi="ar"/>
              </w:rPr>
              <w:br w:type="textWrapping"/>
            </w:r>
            <w:r>
              <w:rPr>
                <w:rFonts w:hint="eastAsia" w:ascii="宋体" w:hAnsi="宋体" w:eastAsia="宋体" w:cs="宋体"/>
                <w:i w:val="0"/>
                <w:color w:val="000000"/>
                <w:spacing w:val="0"/>
                <w:kern w:val="0"/>
                <w:position w:val="0"/>
                <w:sz w:val="18"/>
                <w:szCs w:val="18"/>
                <w:u w:val="none"/>
                <w:lang w:val="en-US" w:eastAsia="zh-CN" w:bidi="ar"/>
              </w:rPr>
              <w:br w:type="textWrapping"/>
            </w:r>
            <w:r>
              <w:rPr>
                <w:rFonts w:hint="eastAsia" w:ascii="宋体" w:hAnsi="宋体" w:eastAsia="宋体" w:cs="宋体"/>
                <w:i w:val="0"/>
                <w:color w:val="000000"/>
                <w:spacing w:val="0"/>
                <w:kern w:val="0"/>
                <w:position w:val="0"/>
                <w:sz w:val="18"/>
                <w:szCs w:val="18"/>
                <w:u w:val="none"/>
                <w:lang w:val="en-US" w:eastAsia="zh-CN" w:bidi="ar"/>
              </w:rPr>
              <w:t>3.定性指标根据指标完成情况分为:全部或基本达成预期指标、部分达成预期指标并具有一定效果、未达成预期指标且效果较差三档，分别按照100％-80％(含)、80％-60％(含)、60-0％合理填写完成比例</w:t>
            </w:r>
            <w:r>
              <w:rPr>
                <w:rFonts w:hint="eastAsia" w:ascii="宋体" w:hAnsi="宋体" w:eastAsia="宋体" w:cs="宋体"/>
                <w:i w:val="0"/>
                <w:color w:val="000000"/>
                <w:spacing w:val="0"/>
                <w:kern w:val="0"/>
                <w:position w:val="0"/>
                <w:sz w:val="18"/>
                <w:szCs w:val="18"/>
                <w:u w:val="none"/>
                <w:lang w:val="en-US" w:eastAsia="zh-CN" w:bidi="ar"/>
              </w:rPr>
              <w:br w:type="textWrapping"/>
            </w:r>
            <w:r>
              <w:rPr>
                <w:rFonts w:hint="eastAsia" w:ascii="宋体" w:hAnsi="宋体" w:eastAsia="宋体" w:cs="宋体"/>
                <w:i w:val="0"/>
                <w:color w:val="000000"/>
                <w:spacing w:val="0"/>
                <w:kern w:val="0"/>
                <w:position w:val="0"/>
                <w:sz w:val="18"/>
                <w:szCs w:val="18"/>
                <w:u w:val="none"/>
                <w:lang w:val="en-US" w:eastAsia="zh-CN" w:bidi="ar"/>
              </w:rPr>
              <w:br w:type="textWrapping"/>
            </w:r>
            <w:r>
              <w:rPr>
                <w:rFonts w:hint="eastAsia" w:ascii="宋体" w:hAnsi="宋体" w:eastAsia="宋体" w:cs="宋体"/>
                <w:i w:val="0"/>
                <w:color w:val="000000"/>
                <w:spacing w:val="0"/>
                <w:kern w:val="0"/>
                <w:position w:val="0"/>
                <w:sz w:val="18"/>
                <w:szCs w:val="18"/>
                <w:u w:val="none"/>
                <w:lang w:val="en-US" w:eastAsia="zh-CN" w:bidi="ar"/>
              </w:rPr>
              <w:t>4.资金使用单位按项目填报，主管部门和财政部门汇总时按区域绩效目标填报</w:t>
            </w:r>
          </w:p>
        </w:tc>
      </w:tr>
    </w:tbl>
    <w:p/>
    <w:sectPr>
      <w:pgSz w:w="16838" w:h="11906" w:orient="landscape"/>
      <w:pgMar w:top="1417" w:right="1928" w:bottom="1417" w:left="1814" w:header="851" w:footer="1134" w:gutter="0"/>
      <w:cols w:space="0" w:num="1"/>
      <w:rtlGutter w:val="0"/>
      <w:docGrid w:type="lines" w:linePitch="4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6F0B19D7"/>
    <w:rsid w:val="24171F74"/>
    <w:rsid w:val="33486F77"/>
    <w:rsid w:val="6F0B19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both"/>
    </w:pPr>
    <w:rPr>
      <w:rFonts w:hint="default" w:ascii="Calibri" w:hAnsi="Calibri" w:eastAsia="宋体" w:cs="Times New Roman"/>
      <w:color w:val="auto"/>
      <w:spacing w:val="0"/>
      <w:position w:val="0"/>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2021-05-21T10:28:00Z</dcterms:created>
  <dc:creator>dengd</dc:creator>
  <cp:lastModifiedBy>纯粹几何</cp:lastModifiedBy>
  <dcterms:modified xsi:type="dcterms:W3CDTF">2023-10-07T03:54:21Z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940CB669A96A42C2987951AEBB2FC6FF_13</vt:lpwstr>
  </property>
</Properties>
</file>