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 w:eastAsia="zh-CN"/>
        </w:rPr>
        <w:t>附件</w:t>
      </w:r>
    </w:p>
    <w:p>
      <w:pPr>
        <w:pStyle w:val="3"/>
        <w:spacing w:line="240" w:lineRule="exact"/>
        <w:ind w:firstLine="0" w:firstLineChars="0"/>
        <w:jc w:val="center"/>
        <w:rPr>
          <w:rFonts w:hint="eastAsia" w:ascii="方正小标宋简体" w:hAnsi="方正小标宋简体" w:eastAsia="方正小标宋简体" w:cs="方正小标宋简体"/>
          <w:b w:val="0"/>
          <w:bCs w:val="0"/>
          <w:sz w:val="44"/>
          <w:szCs w:val="44"/>
          <w:lang w:val="en-US" w:eastAsia="zh-CN"/>
        </w:rPr>
      </w:pPr>
    </w:p>
    <w:p>
      <w:pPr>
        <w:pStyle w:val="3"/>
        <w:ind w:firstLine="0" w:firstLineChars="0"/>
        <w:jc w:val="center"/>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城乡居民基本医疗保险补助资金转移支付区域绩效自评表</w:t>
      </w:r>
    </w:p>
    <w:bookmarkEnd w:id="0"/>
    <w:p>
      <w:pPr>
        <w:pStyle w:val="3"/>
        <w:ind w:firstLine="0" w:firstLineChars="0"/>
        <w:jc w:val="center"/>
        <w:rPr>
          <w:rFonts w:hint="eastAsia" w:ascii="宋体" w:hAnsi="宋体" w:eastAsia="宋体" w:cs="宋体"/>
          <w:sz w:val="21"/>
          <w:szCs w:val="21"/>
          <w:lang w:val="en-US" w:eastAsia="zh-CN"/>
        </w:rPr>
      </w:pPr>
      <w:r>
        <w:rPr>
          <w:rFonts w:hint="eastAsia" w:ascii="楷体_GB2312" w:hAnsi="楷体_GB2312" w:eastAsia="楷体_GB2312" w:cs="楷体_GB2312"/>
          <w:b w:val="0"/>
          <w:bCs w:val="0"/>
          <w:sz w:val="32"/>
          <w:szCs w:val="32"/>
          <w:lang w:val="en-US" w:eastAsia="zh-CN"/>
        </w:rPr>
        <w:t>（2023年度）</w:t>
      </w:r>
    </w:p>
    <w:tbl>
      <w:tblPr>
        <w:tblStyle w:val="5"/>
        <w:tblW w:w="15139" w:type="dxa"/>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1"/>
        <w:gridCol w:w="785"/>
        <w:gridCol w:w="1083"/>
        <w:gridCol w:w="1934"/>
        <w:gridCol w:w="2062"/>
        <w:gridCol w:w="1849"/>
        <w:gridCol w:w="1547"/>
        <w:gridCol w:w="831"/>
        <w:gridCol w:w="193"/>
        <w:gridCol w:w="3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31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1357630</wp:posOffset>
                  </wp:positionH>
                  <wp:positionV relativeFrom="paragraph">
                    <wp:posOffset>9525</wp:posOffset>
                  </wp:positionV>
                  <wp:extent cx="200025" cy="285750"/>
                  <wp:effectExtent l="0" t="0" r="0" b="0"/>
                  <wp:wrapNone/>
                  <wp:docPr id="1" name="TextBox_1"/>
                  <wp:cNvGraphicFramePr/>
                  <a:graphic xmlns:a="http://schemas.openxmlformats.org/drawingml/2006/main">
                    <a:graphicData uri="http://schemas.openxmlformats.org/drawingml/2006/picture">
                      <pic:pic xmlns:pic="http://schemas.openxmlformats.org/drawingml/2006/picture">
                        <pic:nvPicPr>
                          <pic:cNvPr id="1" name="TextBox_1"/>
                          <pic:cNvPicPr/>
                        </pic:nvPicPr>
                        <pic:blipFill>
                          <a:blip r:embed="rId4"/>
                          <a:stretch>
                            <a:fillRect/>
                          </a:stretch>
                        </pic:blipFill>
                        <pic:spPr>
                          <a:xfrm>
                            <a:off x="0" y="0"/>
                            <a:ext cx="200025" cy="285750"/>
                          </a:xfrm>
                          <a:prstGeom prst="rect">
                            <a:avLst/>
                          </a:prstGeom>
                          <a:noFill/>
                          <a:ln>
                            <a:noFill/>
                          </a:ln>
                        </pic:spPr>
                      </pic:pic>
                    </a:graphicData>
                  </a:graphic>
                </wp:anchor>
              </w:drawing>
            </w:r>
            <w:r>
              <w:rPr>
                <w:rFonts w:hint="eastAsia" w:ascii="宋体" w:hAnsi="宋体" w:eastAsia="宋体" w:cs="宋体"/>
                <w:i w:val="0"/>
                <w:color w:val="000000"/>
                <w:kern w:val="0"/>
                <w:sz w:val="28"/>
                <w:szCs w:val="28"/>
                <w:u w:val="none"/>
                <w:lang w:val="en-US" w:eastAsia="zh-CN" w:bidi="ar"/>
              </w:rPr>
              <w:t>转移支付（项目）名称</w:t>
            </w:r>
          </w:p>
        </w:tc>
        <w:tc>
          <w:tcPr>
            <w:tcW w:w="1194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城乡居民基本医疗保险补助资金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1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中央主管部门</w:t>
            </w:r>
          </w:p>
        </w:tc>
        <w:tc>
          <w:tcPr>
            <w:tcW w:w="1194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国家医疗保障局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1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地方主管部门</w:t>
            </w:r>
          </w:p>
        </w:tc>
        <w:tc>
          <w:tcPr>
            <w:tcW w:w="39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广西壮族自治区医疗保障局</w:t>
            </w:r>
          </w:p>
        </w:tc>
        <w:tc>
          <w:tcPr>
            <w:tcW w:w="33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资金使用单位</w:t>
            </w:r>
          </w:p>
        </w:tc>
        <w:tc>
          <w:tcPr>
            <w:tcW w:w="454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广西壮族自治区医疗保障局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19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资金情况</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（万元）</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hint="eastAsia" w:ascii="宋体" w:hAnsi="宋体" w:eastAsia="宋体" w:cs="宋体"/>
                <w:i w:val="0"/>
                <w:color w:val="000000"/>
                <w:sz w:val="28"/>
                <w:szCs w:val="28"/>
                <w:u w:val="none"/>
              </w:rPr>
            </w:pPr>
          </w:p>
        </w:tc>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全年预算数（A）</w:t>
            </w:r>
          </w:p>
        </w:tc>
        <w:tc>
          <w:tcPr>
            <w:tcW w:w="442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全年执行数（B）</w:t>
            </w:r>
          </w:p>
        </w:tc>
        <w:tc>
          <w:tcPr>
            <w:tcW w:w="3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预算执行率（B/A</w:t>
            </w:r>
            <w:r>
              <w:rPr>
                <w:rFonts w:ascii="Arial" w:hAnsi="Arial" w:eastAsia="宋体" w:cs="Arial"/>
                <w:i w:val="0"/>
                <w:color w:val="000000"/>
                <w:kern w:val="0"/>
                <w:sz w:val="28"/>
                <w:szCs w:val="28"/>
                <w:u w:val="none"/>
                <w:lang w:val="en-US" w:eastAsia="zh-CN" w:bidi="ar"/>
              </w:rPr>
              <w:t>×</w:t>
            </w:r>
            <w:r>
              <w:rPr>
                <w:rStyle w:val="8"/>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19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eastAsia="宋体" w:cs="宋体"/>
                <w:i w:val="0"/>
                <w:color w:val="000000"/>
                <w:sz w:val="28"/>
                <w:szCs w:val="28"/>
                <w:u w:val="none"/>
              </w:rPr>
            </w:pP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年度资金总额：</w:t>
            </w:r>
          </w:p>
        </w:tc>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default" w:ascii="宋体" w:hAnsi="宋体" w:eastAsia="宋体" w:cs="宋体"/>
                <w:i w:val="0"/>
                <w:color w:val="000000"/>
                <w:sz w:val="28"/>
                <w:szCs w:val="28"/>
                <w:u w:val="none"/>
                <w:lang w:val="en"/>
              </w:rPr>
            </w:pPr>
            <w:r>
              <w:rPr>
                <w:rFonts w:hint="default" w:ascii="宋体" w:hAnsi="宋体" w:eastAsia="宋体" w:cs="宋体"/>
                <w:i w:val="0"/>
                <w:color w:val="000000"/>
                <w:kern w:val="0"/>
                <w:sz w:val="28"/>
                <w:szCs w:val="28"/>
                <w:u w:val="none"/>
                <w:lang w:val="en-US" w:eastAsia="zh-CN" w:bidi="ar"/>
              </w:rPr>
              <w:t>2,808,054.13</w:t>
            </w:r>
          </w:p>
        </w:tc>
        <w:tc>
          <w:tcPr>
            <w:tcW w:w="442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2,808,054.13</w:t>
            </w:r>
          </w:p>
        </w:tc>
        <w:tc>
          <w:tcPr>
            <w:tcW w:w="3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19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eastAsia="宋体" w:cs="宋体"/>
                <w:i w:val="0"/>
                <w:color w:val="000000"/>
                <w:sz w:val="28"/>
                <w:szCs w:val="28"/>
                <w:u w:val="none"/>
              </w:rPr>
            </w:pP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其中：中央财政资金</w:t>
            </w:r>
          </w:p>
        </w:tc>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2,244,261</w:t>
            </w:r>
          </w:p>
        </w:tc>
        <w:tc>
          <w:tcPr>
            <w:tcW w:w="442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2,244,261</w:t>
            </w:r>
          </w:p>
        </w:tc>
        <w:tc>
          <w:tcPr>
            <w:tcW w:w="3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19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eastAsia="宋体" w:cs="宋体"/>
                <w:i w:val="0"/>
                <w:color w:val="000000"/>
                <w:sz w:val="28"/>
                <w:szCs w:val="28"/>
                <w:u w:val="none"/>
              </w:rPr>
            </w:pP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地方财政资金</w:t>
            </w:r>
          </w:p>
        </w:tc>
        <w:tc>
          <w:tcPr>
            <w:tcW w:w="2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default" w:ascii="宋体" w:hAnsi="宋体" w:eastAsia="宋体" w:cs="宋体"/>
                <w:i w:val="0"/>
                <w:color w:val="000000"/>
                <w:sz w:val="28"/>
                <w:szCs w:val="28"/>
                <w:u w:val="none"/>
                <w:lang w:val="en"/>
              </w:rPr>
            </w:pPr>
            <w:r>
              <w:rPr>
                <w:rFonts w:hint="default" w:ascii="宋体" w:hAnsi="宋体" w:eastAsia="宋体" w:cs="宋体"/>
                <w:i w:val="0"/>
                <w:color w:val="000000"/>
                <w:kern w:val="0"/>
                <w:sz w:val="28"/>
                <w:szCs w:val="28"/>
                <w:u w:val="none"/>
                <w:lang w:val="en-US" w:eastAsia="zh-CN" w:bidi="ar"/>
              </w:rPr>
              <w:t>563,793.13</w:t>
            </w:r>
          </w:p>
        </w:tc>
        <w:tc>
          <w:tcPr>
            <w:tcW w:w="442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563,793.13</w:t>
            </w:r>
          </w:p>
        </w:tc>
        <w:tc>
          <w:tcPr>
            <w:tcW w:w="3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19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eastAsia="宋体" w:cs="宋体"/>
                <w:i w:val="0"/>
                <w:color w:val="000000"/>
                <w:sz w:val="28"/>
                <w:szCs w:val="28"/>
                <w:u w:val="none"/>
              </w:rPr>
            </w:pP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其他资金</w:t>
            </w:r>
          </w:p>
        </w:tc>
        <w:tc>
          <w:tcPr>
            <w:tcW w:w="2062"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eastAsia="宋体" w:cs="宋体"/>
                <w:i w:val="0"/>
                <w:color w:val="000000"/>
                <w:sz w:val="28"/>
                <w:szCs w:val="28"/>
                <w:u w:val="none"/>
              </w:rPr>
            </w:pPr>
          </w:p>
        </w:tc>
        <w:tc>
          <w:tcPr>
            <w:tcW w:w="442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eastAsia="宋体" w:cs="宋体"/>
                <w:i w:val="0"/>
                <w:color w:val="000000"/>
                <w:sz w:val="28"/>
                <w:szCs w:val="28"/>
                <w:u w:val="none"/>
              </w:rPr>
            </w:pPr>
          </w:p>
        </w:tc>
        <w:tc>
          <w:tcPr>
            <w:tcW w:w="3524"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19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资金管理情况</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hint="eastAsia" w:ascii="宋体" w:hAnsi="宋体" w:eastAsia="宋体" w:cs="宋体"/>
                <w:i w:val="0"/>
                <w:color w:val="000000"/>
                <w:sz w:val="28"/>
                <w:szCs w:val="28"/>
                <w:u w:val="none"/>
              </w:rPr>
            </w:pPr>
          </w:p>
        </w:tc>
        <w:tc>
          <w:tcPr>
            <w:tcW w:w="648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情况说明</w:t>
            </w:r>
          </w:p>
        </w:tc>
        <w:tc>
          <w:tcPr>
            <w:tcW w:w="3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319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eastAsia="宋体" w:cs="宋体"/>
                <w:i w:val="0"/>
                <w:color w:val="000000"/>
                <w:sz w:val="28"/>
                <w:szCs w:val="28"/>
                <w:u w:val="none"/>
              </w:rPr>
            </w:pP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分配科学性</w:t>
            </w:r>
          </w:p>
        </w:tc>
        <w:tc>
          <w:tcPr>
            <w:tcW w:w="648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广西居民医保转移支付资金严格执行《中华人民共和国预算法》《中央财政城乡居民基本医疗保险补助资金管理办法》及《广西城乡居民基本医疗保险补助资金管理办法》等规定，以参保人数为分配因素科学合理制定分配方案。</w:t>
            </w:r>
          </w:p>
        </w:tc>
        <w:tc>
          <w:tcPr>
            <w:tcW w:w="3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319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eastAsia="宋体" w:cs="宋体"/>
                <w:i w:val="0"/>
                <w:color w:val="000000"/>
                <w:sz w:val="28"/>
                <w:szCs w:val="28"/>
                <w:u w:val="none"/>
              </w:rPr>
            </w:pP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下达及时性</w:t>
            </w:r>
          </w:p>
        </w:tc>
        <w:tc>
          <w:tcPr>
            <w:tcW w:w="648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广西严格按照预算法规定，自治区医保局制定资金分配方案后按规定履行报批程序及时报送至自治区财政厅，自治区财政厅审核自治区医保局报送的资金分配方案，对于直达资金，及时向财政部备案，均在收到中央补助资金文件30日内，将预算下达至各统筹地区，并抄送财政部广西监管局。</w:t>
            </w:r>
          </w:p>
        </w:tc>
        <w:tc>
          <w:tcPr>
            <w:tcW w:w="3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319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eastAsia="宋体" w:cs="宋体"/>
                <w:i w:val="0"/>
                <w:color w:val="000000"/>
                <w:sz w:val="28"/>
                <w:szCs w:val="28"/>
                <w:u w:val="none"/>
              </w:rPr>
            </w:pP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拨付合规性</w:t>
            </w:r>
          </w:p>
        </w:tc>
        <w:tc>
          <w:tcPr>
            <w:tcW w:w="648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各市收到中央和自治区下达财政补助资金后，均严格按照国库集中支付制度有关规定拨付至基金统筹地区财政专户。未发现违规问题。</w:t>
            </w:r>
          </w:p>
        </w:tc>
        <w:tc>
          <w:tcPr>
            <w:tcW w:w="3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319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eastAsia="宋体" w:cs="宋体"/>
                <w:i w:val="0"/>
                <w:color w:val="000000"/>
                <w:sz w:val="28"/>
                <w:szCs w:val="28"/>
                <w:u w:val="none"/>
              </w:rPr>
            </w:pP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使用规范性</w:t>
            </w:r>
          </w:p>
        </w:tc>
        <w:tc>
          <w:tcPr>
            <w:tcW w:w="648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广西城乡居民基本医疗保险补助资金拨入各基金统筹地区财政专户，纳入城乡居民医保基金财政补助收入核算。城乡居民医保基金实行专账核算、专款专用、“收支两条线”管理，全年未发现基金违规支出情况。</w:t>
            </w:r>
          </w:p>
        </w:tc>
        <w:tc>
          <w:tcPr>
            <w:tcW w:w="3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8" w:hRule="atLeast"/>
        </w:trPr>
        <w:tc>
          <w:tcPr>
            <w:tcW w:w="319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eastAsia="宋体" w:cs="宋体"/>
                <w:i w:val="0"/>
                <w:color w:val="000000"/>
                <w:sz w:val="28"/>
                <w:szCs w:val="28"/>
                <w:u w:val="none"/>
              </w:rPr>
            </w:pPr>
          </w:p>
        </w:tc>
        <w:tc>
          <w:tcPr>
            <w:tcW w:w="39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执行准确性</w:t>
            </w:r>
          </w:p>
        </w:tc>
        <w:tc>
          <w:tcPr>
            <w:tcW w:w="33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按照上级下达和本级预算安排的金额执行，预算执行无偏差。</w:t>
            </w:r>
          </w:p>
        </w:tc>
        <w:tc>
          <w:tcPr>
            <w:tcW w:w="454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部分地区由于财政运行困难，难以在年度内将居民医保财政补助资金全额拨付到位。自治区财政厅不断加大工作调度力度，按日掌握各市拨付进度，将居民医保财政补助资金拨付情况和中央医保能建资金分配挂钩、强化库款调度管理，确保全区财政补助资金年度内100%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8" w:hRule="atLeast"/>
        </w:trPr>
        <w:tc>
          <w:tcPr>
            <w:tcW w:w="319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eastAsia="宋体" w:cs="宋体"/>
                <w:i w:val="0"/>
                <w:color w:val="000000"/>
                <w:sz w:val="28"/>
                <w:szCs w:val="28"/>
                <w:u w:val="none"/>
              </w:rPr>
            </w:pPr>
          </w:p>
        </w:tc>
        <w:tc>
          <w:tcPr>
            <w:tcW w:w="39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预算绩效管理情况</w:t>
            </w:r>
          </w:p>
        </w:tc>
        <w:tc>
          <w:tcPr>
            <w:tcW w:w="33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left"/>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一是</w:t>
            </w:r>
            <w:r>
              <w:rPr>
                <w:rStyle w:val="8"/>
                <w:lang w:val="en-US" w:eastAsia="zh-CN" w:bidi="ar"/>
              </w:rPr>
              <w:t>及时在细化下达预算时同步分解下达绩效目标，将自治区居民医保补助资金纳入本级预算。</w:t>
            </w:r>
            <w:r>
              <w:rPr>
                <w:rFonts w:hint="eastAsia" w:ascii="宋体" w:hAnsi="宋体" w:eastAsia="宋体" w:cs="宋体"/>
                <w:b/>
                <w:i w:val="0"/>
                <w:color w:val="000000"/>
                <w:kern w:val="0"/>
                <w:sz w:val="28"/>
                <w:szCs w:val="28"/>
                <w:u w:val="none"/>
                <w:lang w:val="en-US" w:eastAsia="zh-CN" w:bidi="ar"/>
              </w:rPr>
              <w:t>二是</w:t>
            </w:r>
            <w:r>
              <w:rPr>
                <w:rStyle w:val="8"/>
                <w:lang w:val="en-US" w:eastAsia="zh-CN" w:bidi="ar"/>
              </w:rPr>
              <w:t>健全转移支付监控机制，按月统计转移支付资金使用及到位情况，联合财政部广西监管局对报送的资金数据进行比对分析，发现问题及时纠偏。形成了上下联动、系统协同、高效运转的资金管理模式。</w:t>
            </w:r>
            <w:r>
              <w:rPr>
                <w:rFonts w:hint="eastAsia" w:ascii="宋体" w:hAnsi="宋体" w:eastAsia="宋体" w:cs="宋体"/>
                <w:b/>
                <w:i w:val="0"/>
                <w:color w:val="000000"/>
                <w:kern w:val="0"/>
                <w:sz w:val="28"/>
                <w:szCs w:val="28"/>
                <w:u w:val="none"/>
                <w:lang w:val="en-US" w:eastAsia="zh-CN" w:bidi="ar"/>
              </w:rPr>
              <w:t>三是</w:t>
            </w:r>
            <w:r>
              <w:rPr>
                <w:rFonts w:hint="eastAsia" w:ascii="宋体" w:hAnsi="宋体" w:eastAsia="宋体" w:cs="宋体"/>
                <w:b w:val="0"/>
                <w:bCs/>
                <w:i w:val="0"/>
                <w:color w:val="000000"/>
                <w:kern w:val="0"/>
                <w:sz w:val="28"/>
                <w:szCs w:val="28"/>
                <w:u w:val="none"/>
                <w:lang w:val="en-US" w:eastAsia="zh-CN" w:bidi="ar"/>
              </w:rPr>
              <w:t>开展2023年居民医保转移支付绩效评价，增强资金使用效益。</w:t>
            </w:r>
          </w:p>
          <w:p>
            <w:pPr>
              <w:keepNext w:val="0"/>
              <w:keepLines w:val="0"/>
              <w:widowControl/>
              <w:suppressLineNumbers w:val="0"/>
              <w:spacing w:line="340" w:lineRule="exact"/>
              <w:jc w:val="left"/>
              <w:textAlignment w:val="center"/>
              <w:rPr>
                <w:rFonts w:hint="eastAsia" w:ascii="宋体" w:hAnsi="宋体" w:eastAsia="宋体" w:cs="宋体"/>
                <w:b/>
                <w:i w:val="0"/>
                <w:color w:val="000000"/>
                <w:sz w:val="28"/>
                <w:szCs w:val="28"/>
                <w:u w:val="none"/>
              </w:rPr>
            </w:pPr>
          </w:p>
        </w:tc>
        <w:tc>
          <w:tcPr>
            <w:tcW w:w="454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0" w:hRule="atLeast"/>
        </w:trPr>
        <w:tc>
          <w:tcPr>
            <w:tcW w:w="319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eastAsia="宋体" w:cs="宋体"/>
                <w:i w:val="0"/>
                <w:color w:val="000000"/>
                <w:sz w:val="28"/>
                <w:szCs w:val="28"/>
                <w:u w:val="none"/>
              </w:rPr>
            </w:pPr>
          </w:p>
        </w:tc>
        <w:tc>
          <w:tcPr>
            <w:tcW w:w="39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支出责任履行情况</w:t>
            </w:r>
          </w:p>
        </w:tc>
        <w:tc>
          <w:tcPr>
            <w:tcW w:w="33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居民医保转移支付严格执行《广西医疗卫生领域财政事权和支出责任划分改革实施方案》，由中央、自治区、市县共同承担支出责任。中央、自治区、脱贫县（市、区）按8:1.5:0.5比例承担，中央、自治区、其他县（市、区）按8:1:1比例承担。2023年各级财政已按规定安排财政补助资金。</w:t>
            </w:r>
          </w:p>
        </w:tc>
        <w:tc>
          <w:tcPr>
            <w:tcW w:w="454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3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总体目标完成情况</w:t>
            </w:r>
          </w:p>
        </w:tc>
        <w:tc>
          <w:tcPr>
            <w:tcW w:w="586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总体目标</w:t>
            </w:r>
          </w:p>
        </w:tc>
        <w:tc>
          <w:tcPr>
            <w:tcW w:w="794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7" w:hRule="atLeast"/>
        </w:trPr>
        <w:tc>
          <w:tcPr>
            <w:tcW w:w="133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eastAsia="宋体" w:cs="宋体"/>
                <w:i w:val="0"/>
                <w:color w:val="000000"/>
                <w:sz w:val="28"/>
                <w:szCs w:val="28"/>
                <w:u w:val="none"/>
              </w:rPr>
            </w:pPr>
          </w:p>
        </w:tc>
        <w:tc>
          <w:tcPr>
            <w:tcW w:w="586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目标1：巩固参保率。</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 目标2：稳定住院待遇，稳步提高门诊待遇。</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 目标3：实现基金收支平衡。</w:t>
            </w:r>
          </w:p>
        </w:tc>
        <w:tc>
          <w:tcPr>
            <w:tcW w:w="794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rPr>
              <w:t>2023年度总体绩效目标已完成。通过项目实施，巩固了参保率、稳定住院待遇和稳步提高门诊待遇、实现基金收支平衡，确保城乡居民医保工作顺利实施，切实提高医疗保障水平，确保居民医保财政补助资金安全、基金平稳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1331"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绩效指标</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一级</w:t>
            </w:r>
            <w:r>
              <w:rPr>
                <w:rFonts w:hint="eastAsia" w:ascii="方正黑体_GBK" w:hAnsi="方正黑体_GBK" w:eastAsia="方正黑体_GBK" w:cs="方正黑体_GBK"/>
                <w:i w:val="0"/>
                <w:color w:val="000000"/>
                <w:kern w:val="0"/>
                <w:sz w:val="28"/>
                <w:szCs w:val="28"/>
                <w:u w:val="none"/>
                <w:lang w:val="en-US" w:eastAsia="zh-CN" w:bidi="ar"/>
              </w:rPr>
              <w:br w:type="textWrapping"/>
            </w:r>
            <w:r>
              <w:rPr>
                <w:rFonts w:hint="eastAsia" w:ascii="方正黑体_GBK" w:hAnsi="方正黑体_GBK" w:eastAsia="方正黑体_GBK" w:cs="方正黑体_GBK"/>
                <w:i w:val="0"/>
                <w:color w:val="000000"/>
                <w:kern w:val="0"/>
                <w:sz w:val="28"/>
                <w:szCs w:val="28"/>
                <w:u w:val="none"/>
                <w:lang w:val="en-US" w:eastAsia="zh-CN" w:bidi="ar"/>
              </w:rPr>
              <w:t>指标</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方正黑体_GBK" w:hAnsi="方正黑体_GBK" w:eastAsia="方正黑体_GBK" w:cs="方正黑体_GBK"/>
                <w:i w:val="0"/>
                <w:color w:val="000000"/>
                <w:kern w:val="0"/>
                <w:sz w:val="28"/>
                <w:szCs w:val="28"/>
                <w:u w:val="none"/>
                <w:lang w:val="en-US" w:eastAsia="zh-CN" w:bidi="ar"/>
              </w:rPr>
            </w:pPr>
            <w:r>
              <w:rPr>
                <w:rFonts w:hint="eastAsia" w:ascii="方正黑体_GBK" w:hAnsi="方正黑体_GBK" w:eastAsia="方正黑体_GBK" w:cs="方正黑体_GBK"/>
                <w:i w:val="0"/>
                <w:color w:val="000000"/>
                <w:kern w:val="0"/>
                <w:sz w:val="28"/>
                <w:szCs w:val="28"/>
                <w:u w:val="none"/>
                <w:lang w:val="en-US" w:eastAsia="zh-CN" w:bidi="ar"/>
              </w:rPr>
              <w:t>二级</w:t>
            </w:r>
          </w:p>
          <w:p>
            <w:pPr>
              <w:keepNext w:val="0"/>
              <w:keepLines w:val="0"/>
              <w:widowControl/>
              <w:suppressLineNumbers w:val="0"/>
              <w:spacing w:line="34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指标</w:t>
            </w:r>
          </w:p>
        </w:tc>
        <w:tc>
          <w:tcPr>
            <w:tcW w:w="39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三级指标</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指标值</w:t>
            </w:r>
          </w:p>
        </w:tc>
        <w:tc>
          <w:tcPr>
            <w:tcW w:w="23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全年实际完成值</w:t>
            </w:r>
          </w:p>
        </w:tc>
        <w:tc>
          <w:tcPr>
            <w:tcW w:w="37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0" w:hRule="atLeast"/>
        </w:trPr>
        <w:tc>
          <w:tcPr>
            <w:tcW w:w="133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line="340" w:lineRule="exact"/>
              <w:jc w:val="center"/>
              <w:rPr>
                <w:rFonts w:hint="eastAsia" w:ascii="宋体" w:hAnsi="宋体" w:eastAsia="宋体" w:cs="宋体"/>
                <w:i w:val="0"/>
                <w:color w:val="000000"/>
                <w:sz w:val="28"/>
                <w:szCs w:val="28"/>
                <w:u w:val="none"/>
              </w:rPr>
            </w:pPr>
          </w:p>
        </w:tc>
        <w:tc>
          <w:tcPr>
            <w:tcW w:w="7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产</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出</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指</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标</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数量指标</w:t>
            </w:r>
          </w:p>
        </w:tc>
        <w:tc>
          <w:tcPr>
            <w:tcW w:w="39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参保人数（人）</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44,717,669</w:t>
            </w:r>
          </w:p>
        </w:tc>
        <w:tc>
          <w:tcPr>
            <w:tcW w:w="23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44,195,279</w:t>
            </w:r>
          </w:p>
        </w:tc>
        <w:tc>
          <w:tcPr>
            <w:tcW w:w="37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我区2023年城乡居民医保参保人数为44</w:t>
            </w:r>
            <w:r>
              <w:rPr>
                <w:rFonts w:hint="default" w:ascii="宋体" w:hAnsi="宋体" w:cs="宋体"/>
                <w:i w:val="0"/>
                <w:color w:val="000000"/>
                <w:kern w:val="0"/>
                <w:sz w:val="28"/>
                <w:szCs w:val="28"/>
                <w:u w:val="none"/>
                <w:lang w:val="en" w:eastAsia="zh-CN" w:bidi="ar"/>
              </w:rPr>
              <w:t>,</w:t>
            </w:r>
            <w:r>
              <w:rPr>
                <w:rFonts w:hint="eastAsia" w:ascii="宋体" w:hAnsi="宋体" w:eastAsia="宋体" w:cs="宋体"/>
                <w:i w:val="0"/>
                <w:color w:val="000000"/>
                <w:kern w:val="0"/>
                <w:sz w:val="28"/>
                <w:szCs w:val="28"/>
                <w:u w:val="none"/>
                <w:lang w:val="en-US" w:eastAsia="zh-CN" w:bidi="ar"/>
              </w:rPr>
              <w:t>195</w:t>
            </w:r>
            <w:r>
              <w:rPr>
                <w:rFonts w:hint="default" w:ascii="宋体" w:hAnsi="宋体" w:cs="宋体"/>
                <w:i w:val="0"/>
                <w:color w:val="000000"/>
                <w:kern w:val="0"/>
                <w:sz w:val="28"/>
                <w:szCs w:val="28"/>
                <w:u w:val="none"/>
                <w:lang w:val="en" w:eastAsia="zh-CN" w:bidi="ar"/>
              </w:rPr>
              <w:t>,</w:t>
            </w:r>
            <w:r>
              <w:rPr>
                <w:rFonts w:hint="eastAsia" w:ascii="宋体" w:hAnsi="宋体" w:eastAsia="宋体" w:cs="宋体"/>
                <w:i w:val="0"/>
                <w:color w:val="000000"/>
                <w:kern w:val="0"/>
                <w:sz w:val="28"/>
                <w:szCs w:val="28"/>
                <w:u w:val="none"/>
                <w:lang w:val="en-US" w:eastAsia="zh-CN" w:bidi="ar"/>
              </w:rPr>
              <w:t>279人，比设定的≥44,714,669人目标，减少519,390人。</w:t>
            </w:r>
            <w:r>
              <w:rPr>
                <w:rFonts w:hint="eastAsia" w:ascii="宋体" w:hAnsi="宋体" w:eastAsia="宋体" w:cs="宋体"/>
                <w:b/>
                <w:i w:val="0"/>
                <w:color w:val="000000"/>
                <w:kern w:val="0"/>
                <w:sz w:val="28"/>
                <w:szCs w:val="28"/>
                <w:u w:val="none"/>
                <w:lang w:val="en-US" w:eastAsia="zh-CN" w:bidi="ar"/>
              </w:rPr>
              <w:t>原因如下：</w:t>
            </w:r>
            <w:r>
              <w:rPr>
                <w:rStyle w:val="8"/>
                <w:lang w:val="en-US" w:eastAsia="zh-CN" w:bidi="ar"/>
              </w:rPr>
              <w:t>一是对重复参保数据进行治理。广西在2021年11月国家统一的医保信息平台全面上线后，严格按照系统重复参保规则进行数据治理，主要对省内居民制度间、居民与职工跨制度重复参保数据进行清理，消除了“一人两保”、多地参保等不规范现象。二是</w:t>
            </w:r>
            <w:r>
              <w:rPr>
                <w:rFonts w:hint="eastAsia" w:ascii="宋体" w:hAnsi="宋体" w:eastAsia="宋体" w:cs="宋体"/>
                <w:kern w:val="0"/>
                <w:sz w:val="28"/>
                <w:szCs w:val="28"/>
                <w:lang w:bidi="ar"/>
              </w:rPr>
              <w:t>部分</w:t>
            </w:r>
            <w:r>
              <w:rPr>
                <w:rFonts w:hint="eastAsia" w:ascii="宋体" w:hAnsi="宋体" w:eastAsia="宋体" w:cs="宋体"/>
                <w:kern w:val="0"/>
                <w:sz w:val="28"/>
                <w:szCs w:val="28"/>
                <w:lang w:val="en-US" w:eastAsia="zh-CN" w:bidi="ar"/>
              </w:rPr>
              <w:t>居民医保转参</w:t>
            </w:r>
            <w:r>
              <w:rPr>
                <w:rFonts w:hint="eastAsia" w:ascii="宋体" w:hAnsi="宋体" w:eastAsia="宋体" w:cs="宋体"/>
                <w:kern w:val="0"/>
                <w:sz w:val="28"/>
                <w:szCs w:val="28"/>
                <w:lang w:eastAsia="zh-CN" w:bidi="ar"/>
              </w:rPr>
              <w:t>职工医保。</w:t>
            </w:r>
            <w:r>
              <w:rPr>
                <w:rStyle w:val="8"/>
                <w:lang w:val="en-US" w:eastAsia="zh-CN" w:bidi="ar"/>
              </w:rPr>
              <w:br w:type="textWrapping"/>
            </w:r>
            <w:r>
              <w:rPr>
                <w:rFonts w:hint="eastAsia" w:ascii="宋体" w:hAnsi="宋体" w:eastAsia="宋体" w:cs="宋体"/>
                <w:b/>
                <w:i w:val="0"/>
                <w:color w:val="000000"/>
                <w:kern w:val="0"/>
                <w:sz w:val="28"/>
                <w:szCs w:val="28"/>
                <w:u w:val="none"/>
                <w:lang w:val="en-US" w:eastAsia="zh-CN" w:bidi="ar"/>
              </w:rPr>
              <w:t>下一步改进措施</w:t>
            </w:r>
            <w:r>
              <w:rPr>
                <w:rStyle w:val="8"/>
                <w:lang w:val="en-US" w:eastAsia="zh-CN" w:bidi="ar"/>
              </w:rPr>
              <w:t>：一是继续按照国家医保局统一部署开展重复参保清理核查工作，清理存量数据，保证数据准确有效。二是持续深入实施全</w:t>
            </w:r>
            <w:r>
              <w:rPr>
                <w:rStyle w:val="8"/>
                <w:rFonts w:hint="eastAsia"/>
                <w:lang w:val="en-US" w:eastAsia="zh-CN" w:bidi="ar"/>
              </w:rPr>
              <w:t>民</w:t>
            </w:r>
            <w:r>
              <w:rPr>
                <w:rStyle w:val="8"/>
                <w:lang w:val="en-US" w:eastAsia="zh-CN" w:bidi="ar"/>
              </w:rPr>
              <w:t>参保计划，通过完善基本医保制度、提高财政补助标准、优化参保缴费服务等措施，让城乡居民更加公平享有基本医疗保障权益，提高群众参保意愿。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3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line="340" w:lineRule="exact"/>
              <w:jc w:val="center"/>
              <w:rPr>
                <w:rFonts w:hint="eastAsia" w:ascii="宋体" w:hAnsi="宋体" w:eastAsia="宋体" w:cs="宋体"/>
                <w:i w:val="0"/>
                <w:color w:val="000000"/>
                <w:sz w:val="28"/>
                <w:szCs w:val="28"/>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eastAsia="宋体" w:cs="宋体"/>
                <w:i w:val="0"/>
                <w:color w:val="000000"/>
                <w:sz w:val="28"/>
                <w:szCs w:val="28"/>
                <w:u w:val="none"/>
              </w:rPr>
            </w:pPr>
          </w:p>
        </w:tc>
        <w:tc>
          <w:tcPr>
            <w:tcW w:w="10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质量</w:t>
            </w:r>
          </w:p>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指标</w:t>
            </w:r>
          </w:p>
        </w:tc>
        <w:tc>
          <w:tcPr>
            <w:tcW w:w="39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重复参保人数(人)</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0</w:t>
            </w:r>
          </w:p>
        </w:tc>
        <w:tc>
          <w:tcPr>
            <w:tcW w:w="23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0</w:t>
            </w:r>
          </w:p>
        </w:tc>
        <w:tc>
          <w:tcPr>
            <w:tcW w:w="371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both"/>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3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line="340" w:lineRule="exact"/>
              <w:jc w:val="center"/>
              <w:rPr>
                <w:rFonts w:hint="eastAsia" w:ascii="宋体" w:hAnsi="宋体" w:eastAsia="宋体" w:cs="宋体"/>
                <w:i w:val="0"/>
                <w:color w:val="000000"/>
                <w:sz w:val="28"/>
                <w:szCs w:val="28"/>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eastAsia="宋体" w:cs="宋体"/>
                <w:i w:val="0"/>
                <w:color w:val="000000"/>
                <w:sz w:val="28"/>
                <w:szCs w:val="28"/>
                <w:u w:val="none"/>
              </w:rPr>
            </w:pPr>
          </w:p>
        </w:tc>
        <w:tc>
          <w:tcPr>
            <w:tcW w:w="10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eastAsia="宋体" w:cs="宋体"/>
                <w:i w:val="0"/>
                <w:color w:val="000000"/>
                <w:sz w:val="28"/>
                <w:szCs w:val="28"/>
                <w:u w:val="none"/>
              </w:rPr>
            </w:pPr>
          </w:p>
        </w:tc>
        <w:tc>
          <w:tcPr>
            <w:tcW w:w="39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申请结算补助资金时多报、虚报参保人数（人）</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0</w:t>
            </w:r>
          </w:p>
        </w:tc>
        <w:tc>
          <w:tcPr>
            <w:tcW w:w="23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0</w:t>
            </w:r>
          </w:p>
        </w:tc>
        <w:tc>
          <w:tcPr>
            <w:tcW w:w="371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both"/>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3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line="340" w:lineRule="exact"/>
              <w:jc w:val="center"/>
              <w:rPr>
                <w:rFonts w:hint="eastAsia" w:ascii="宋体" w:hAnsi="宋体" w:eastAsia="宋体" w:cs="宋体"/>
                <w:i w:val="0"/>
                <w:color w:val="000000"/>
                <w:sz w:val="28"/>
                <w:szCs w:val="28"/>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eastAsia="宋体" w:cs="宋体"/>
                <w:i w:val="0"/>
                <w:color w:val="000000"/>
                <w:sz w:val="28"/>
                <w:szCs w:val="28"/>
                <w:u w:val="none"/>
              </w:rPr>
            </w:pPr>
          </w:p>
        </w:tc>
        <w:tc>
          <w:tcPr>
            <w:tcW w:w="10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eastAsia="宋体" w:cs="宋体"/>
                <w:i w:val="0"/>
                <w:color w:val="000000"/>
                <w:sz w:val="28"/>
                <w:szCs w:val="28"/>
                <w:u w:val="none"/>
              </w:rPr>
            </w:pPr>
          </w:p>
        </w:tc>
        <w:tc>
          <w:tcPr>
            <w:tcW w:w="39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参保人政策范围内住院费用报销比例</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70%左右</w:t>
            </w:r>
          </w:p>
        </w:tc>
        <w:tc>
          <w:tcPr>
            <w:tcW w:w="23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72.67%</w:t>
            </w:r>
          </w:p>
        </w:tc>
        <w:tc>
          <w:tcPr>
            <w:tcW w:w="371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both"/>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0" w:hRule="atLeast"/>
        </w:trPr>
        <w:tc>
          <w:tcPr>
            <w:tcW w:w="133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line="340" w:lineRule="exact"/>
              <w:jc w:val="center"/>
              <w:rPr>
                <w:rFonts w:hint="eastAsia" w:ascii="宋体" w:hAnsi="宋体" w:eastAsia="宋体" w:cs="宋体"/>
                <w:i w:val="0"/>
                <w:color w:val="000000"/>
                <w:sz w:val="28"/>
                <w:szCs w:val="28"/>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eastAsia="宋体" w:cs="宋体"/>
                <w:i w:val="0"/>
                <w:color w:val="000000"/>
                <w:sz w:val="28"/>
                <w:szCs w:val="28"/>
                <w:u w:val="none"/>
              </w:rPr>
            </w:pPr>
          </w:p>
        </w:tc>
        <w:tc>
          <w:tcPr>
            <w:tcW w:w="10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eastAsia="宋体" w:cs="宋体"/>
                <w:i w:val="0"/>
                <w:color w:val="000000"/>
                <w:sz w:val="28"/>
                <w:szCs w:val="28"/>
                <w:u w:val="none"/>
              </w:rPr>
            </w:pPr>
          </w:p>
        </w:tc>
        <w:tc>
          <w:tcPr>
            <w:tcW w:w="39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实行按病种（组）、按人头付费等支付方式改革</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逐步推开</w:t>
            </w:r>
          </w:p>
        </w:tc>
        <w:tc>
          <w:tcPr>
            <w:tcW w:w="23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已逐步推开。2019年以来，DRG支付方式改革一系列文件相继出台，印发《广西疾病诊断分组（DRG）付费方式改革工作实施方案》</w:t>
            </w:r>
            <w:r>
              <w:rPr>
                <w:rFonts w:hint="eastAsia" w:ascii="宋体" w:hAnsi="宋体" w:cs="宋体"/>
                <w:i w:val="0"/>
                <w:color w:val="000000"/>
                <w:kern w:val="0"/>
                <w:sz w:val="28"/>
                <w:szCs w:val="28"/>
                <w:u w:val="none"/>
                <w:lang w:val="en-US" w:eastAsia="zh-CN" w:bidi="ar"/>
              </w:rPr>
              <w:t>、</w:t>
            </w:r>
            <w:r>
              <w:rPr>
                <w:rFonts w:hint="eastAsia" w:ascii="宋体" w:hAnsi="宋体" w:eastAsia="宋体" w:cs="宋体"/>
                <w:i w:val="0"/>
                <w:color w:val="000000"/>
                <w:kern w:val="0"/>
                <w:sz w:val="28"/>
                <w:szCs w:val="28"/>
                <w:u w:val="none"/>
                <w:lang w:val="en-US" w:eastAsia="zh-CN" w:bidi="ar"/>
              </w:rPr>
              <w:t>《广西基本医疗保险住院医疗费用DRG付费暂行办法》</w:t>
            </w:r>
            <w:r>
              <w:rPr>
                <w:rFonts w:hint="eastAsia" w:ascii="宋体" w:hAnsi="宋体" w:cs="宋体"/>
                <w:i w:val="0"/>
                <w:color w:val="000000"/>
                <w:kern w:val="0"/>
                <w:sz w:val="28"/>
                <w:szCs w:val="28"/>
                <w:u w:val="none"/>
                <w:lang w:val="en-US" w:eastAsia="zh-CN" w:bidi="ar"/>
              </w:rPr>
              <w:t>、</w:t>
            </w:r>
            <w:r>
              <w:rPr>
                <w:rFonts w:hint="eastAsia" w:ascii="宋体" w:hAnsi="宋体" w:eastAsia="宋体" w:cs="宋体"/>
                <w:i w:val="0"/>
                <w:color w:val="000000"/>
                <w:kern w:val="0"/>
                <w:sz w:val="28"/>
                <w:szCs w:val="28"/>
                <w:u w:val="none"/>
                <w:lang w:val="en-US" w:eastAsia="zh-CN" w:bidi="ar"/>
              </w:rPr>
              <w:t>《广西壮族自治区推进紧密型县域医疗卫生共同体医保支付方式改革实施方案的通知》</w:t>
            </w:r>
            <w:r>
              <w:rPr>
                <w:rFonts w:hint="eastAsia" w:ascii="宋体" w:hAnsi="宋体" w:cs="宋体"/>
                <w:i w:val="0"/>
                <w:color w:val="000000"/>
                <w:kern w:val="0"/>
                <w:sz w:val="28"/>
                <w:szCs w:val="28"/>
                <w:u w:val="none"/>
                <w:lang w:val="en-US" w:eastAsia="zh-CN" w:bidi="ar"/>
              </w:rPr>
              <w:t>、</w:t>
            </w:r>
            <w:r>
              <w:rPr>
                <w:rFonts w:hint="eastAsia" w:ascii="宋体" w:hAnsi="宋体" w:eastAsia="宋体" w:cs="宋体"/>
                <w:i w:val="0"/>
                <w:color w:val="000000"/>
                <w:kern w:val="0"/>
                <w:sz w:val="28"/>
                <w:szCs w:val="28"/>
                <w:u w:val="none"/>
                <w:lang w:val="en-US" w:eastAsia="zh-CN" w:bidi="ar"/>
              </w:rPr>
              <w:t>《广西DRG付费方式改革三年行动计划实施方案的通知》</w:t>
            </w:r>
            <w:r>
              <w:rPr>
                <w:rFonts w:hint="eastAsia" w:ascii="宋体" w:hAnsi="宋体" w:cs="宋体"/>
                <w:i w:val="0"/>
                <w:color w:val="000000"/>
                <w:kern w:val="0"/>
                <w:sz w:val="28"/>
                <w:szCs w:val="28"/>
                <w:u w:val="none"/>
                <w:lang w:val="en-US" w:eastAsia="zh-CN" w:bidi="ar"/>
              </w:rPr>
              <w:t>、</w:t>
            </w:r>
            <w:r>
              <w:rPr>
                <w:rFonts w:hint="eastAsia" w:ascii="宋体" w:hAnsi="宋体" w:eastAsia="宋体" w:cs="宋体"/>
                <w:i w:val="0"/>
                <w:color w:val="000000"/>
                <w:kern w:val="0"/>
                <w:sz w:val="28"/>
                <w:szCs w:val="28"/>
                <w:u w:val="none"/>
                <w:lang w:val="en-US" w:eastAsia="zh-CN" w:bidi="ar"/>
              </w:rPr>
              <w:t>《广西基本医疗保险DRG付费业务经办规程》。基本实现“四个覆盖”改革目标、提前完成国家DRG付费方式改革任务。</w:t>
            </w:r>
          </w:p>
        </w:tc>
        <w:tc>
          <w:tcPr>
            <w:tcW w:w="371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133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line="340" w:lineRule="exact"/>
              <w:jc w:val="center"/>
              <w:rPr>
                <w:rFonts w:hint="eastAsia" w:ascii="宋体" w:hAnsi="宋体" w:eastAsia="宋体" w:cs="宋体"/>
                <w:i w:val="0"/>
                <w:color w:val="000000"/>
                <w:sz w:val="28"/>
                <w:szCs w:val="28"/>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eastAsia="宋体" w:cs="宋体"/>
                <w:i w:val="0"/>
                <w:color w:val="000000"/>
                <w:sz w:val="28"/>
                <w:szCs w:val="28"/>
                <w:u w:val="none"/>
              </w:rPr>
            </w:pPr>
          </w:p>
        </w:tc>
        <w:tc>
          <w:tcPr>
            <w:tcW w:w="10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eastAsia="宋体" w:cs="宋体"/>
                <w:i w:val="0"/>
                <w:color w:val="000000"/>
                <w:sz w:val="28"/>
                <w:szCs w:val="28"/>
                <w:u w:val="none"/>
              </w:rPr>
            </w:pPr>
          </w:p>
        </w:tc>
        <w:tc>
          <w:tcPr>
            <w:tcW w:w="39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基金滚存结余可支配月数</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≥6个月</w:t>
            </w:r>
          </w:p>
        </w:tc>
        <w:tc>
          <w:tcPr>
            <w:tcW w:w="23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10.85个月</w:t>
            </w:r>
          </w:p>
        </w:tc>
        <w:tc>
          <w:tcPr>
            <w:tcW w:w="371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0" w:hRule="atLeast"/>
        </w:trPr>
        <w:tc>
          <w:tcPr>
            <w:tcW w:w="133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line="340" w:lineRule="exact"/>
              <w:jc w:val="center"/>
              <w:rPr>
                <w:rFonts w:hint="eastAsia" w:ascii="宋体" w:hAnsi="宋体" w:eastAsia="宋体" w:cs="宋体"/>
                <w:i w:val="0"/>
                <w:color w:val="000000"/>
                <w:sz w:val="28"/>
                <w:szCs w:val="28"/>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eastAsia="宋体" w:cs="宋体"/>
                <w:i w:val="0"/>
                <w:color w:val="000000"/>
                <w:sz w:val="28"/>
                <w:szCs w:val="28"/>
                <w:u w:val="none"/>
              </w:rPr>
            </w:pPr>
          </w:p>
        </w:tc>
        <w:tc>
          <w:tcPr>
            <w:tcW w:w="10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eastAsia="宋体" w:cs="宋体"/>
                <w:i w:val="0"/>
                <w:color w:val="000000"/>
                <w:sz w:val="28"/>
                <w:szCs w:val="28"/>
                <w:u w:val="none"/>
              </w:rPr>
            </w:pPr>
          </w:p>
        </w:tc>
        <w:tc>
          <w:tcPr>
            <w:tcW w:w="39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开展门诊统筹</w:t>
            </w:r>
          </w:p>
        </w:tc>
        <w:tc>
          <w:tcPr>
            <w:tcW w:w="18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普遍开展</w:t>
            </w:r>
          </w:p>
        </w:tc>
        <w:tc>
          <w:tcPr>
            <w:tcW w:w="23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已普遍开展。广西已建立统一的城乡居民基本医疗保险普通门诊统筹，2017年7月1日起，广西范围内实施统一的城乡居民基本医疗保险制度。</w:t>
            </w:r>
          </w:p>
        </w:tc>
        <w:tc>
          <w:tcPr>
            <w:tcW w:w="371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0" w:hRule="atLeast"/>
        </w:trPr>
        <w:tc>
          <w:tcPr>
            <w:tcW w:w="133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line="340" w:lineRule="exact"/>
              <w:jc w:val="center"/>
              <w:rPr>
                <w:rFonts w:hint="eastAsia" w:ascii="宋体" w:hAnsi="宋体" w:eastAsia="宋体" w:cs="宋体"/>
                <w:i w:val="0"/>
                <w:color w:val="000000"/>
                <w:sz w:val="28"/>
                <w:szCs w:val="28"/>
                <w:u w:val="none"/>
              </w:rPr>
            </w:pPr>
          </w:p>
        </w:tc>
        <w:tc>
          <w:tcPr>
            <w:tcW w:w="7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满意度指标</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政策知晓率</w:t>
            </w:r>
          </w:p>
        </w:tc>
        <w:tc>
          <w:tcPr>
            <w:tcW w:w="39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参保群众政策知晓率</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普遍知晓</w:t>
            </w:r>
          </w:p>
        </w:tc>
        <w:tc>
          <w:tcPr>
            <w:tcW w:w="23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已普遍知晓。根据第三方机构出具的城乡居民参保对象政策知晓情况调查报告，城乡居民参保对象政策总体知晓率为96.09%，参保群众对政策达到普遍知晓。</w:t>
            </w:r>
          </w:p>
        </w:tc>
        <w:tc>
          <w:tcPr>
            <w:tcW w:w="371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3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line="340" w:lineRule="exact"/>
              <w:jc w:val="center"/>
              <w:rPr>
                <w:rFonts w:hint="eastAsia" w:ascii="宋体" w:hAnsi="宋体" w:eastAsia="宋体" w:cs="宋体"/>
                <w:i w:val="0"/>
                <w:color w:val="000000"/>
                <w:sz w:val="28"/>
                <w:szCs w:val="28"/>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eastAsia="宋体" w:cs="宋体"/>
                <w:i w:val="0"/>
                <w:color w:val="000000"/>
                <w:sz w:val="28"/>
                <w:szCs w:val="28"/>
                <w:u w:val="none"/>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服务对象满意度</w:t>
            </w:r>
          </w:p>
        </w:tc>
        <w:tc>
          <w:tcPr>
            <w:tcW w:w="39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参保对象满意度</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≥90%</w:t>
            </w:r>
          </w:p>
        </w:tc>
        <w:tc>
          <w:tcPr>
            <w:tcW w:w="23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90.04%</w:t>
            </w:r>
          </w:p>
        </w:tc>
        <w:tc>
          <w:tcPr>
            <w:tcW w:w="371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5" w:hRule="atLeast"/>
        </w:trPr>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说明</w:t>
            </w:r>
          </w:p>
        </w:tc>
        <w:tc>
          <w:tcPr>
            <w:tcW w:w="13808"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both"/>
              <w:textAlignment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5139" w:type="dxa"/>
            <w:gridSpan w:val="10"/>
            <w:tcBorders>
              <w:top w:val="nil"/>
              <w:left w:val="nil"/>
              <w:bottom w:val="nil"/>
              <w:right w:val="nil"/>
            </w:tcBorders>
            <w:noWrap w:val="0"/>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注：1.资金使用单位按项目绩效目标填报，主管部门汇总时按区域绩效目标填报。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5139" w:type="dxa"/>
            <w:gridSpan w:val="10"/>
            <w:tcBorders>
              <w:top w:val="nil"/>
              <w:left w:val="nil"/>
              <w:bottom w:val="nil"/>
              <w:right w:val="nil"/>
            </w:tcBorders>
            <w:noWrap w:val="0"/>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2.其他资金包括与中央财政资金、地方财政资金共同投入到同一项目的自有资金、社会资金，以及以前年度的结转结余资金等。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5139" w:type="dxa"/>
            <w:gridSpan w:val="10"/>
            <w:tcBorders>
              <w:top w:val="nil"/>
              <w:left w:val="nil"/>
              <w:bottom w:val="nil"/>
              <w:right w:val="nil"/>
            </w:tcBorders>
            <w:noWrap w:val="0"/>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3.全年执行数是指按照国库集中支付制度要求所形成的实际支出。</w:t>
            </w:r>
          </w:p>
        </w:tc>
      </w:tr>
    </w:tbl>
    <w:p>
      <w:pPr>
        <w:widowControl w:val="0"/>
        <w:adjustRightInd/>
        <w:snapToGrid/>
        <w:spacing w:after="0" w:line="540" w:lineRule="exact"/>
        <w:rPr>
          <w:rFonts w:ascii="黑体" w:hAnsi="黑体" w:eastAsia="黑体" w:cs="方正小标宋简体"/>
          <w:color w:val="auto"/>
          <w:sz w:val="32"/>
          <w:szCs w:val="32"/>
        </w:rPr>
      </w:pPr>
    </w:p>
    <w:p>
      <w:pPr>
        <w:widowControl w:val="0"/>
        <w:adjustRightInd/>
        <w:snapToGrid/>
        <w:spacing w:after="0" w:line="540" w:lineRule="exact"/>
        <w:rPr>
          <w:rFonts w:ascii="黑体" w:hAnsi="黑体" w:eastAsia="黑体" w:cs="方正小标宋简体"/>
          <w:color w:val="auto"/>
          <w:sz w:val="32"/>
          <w:szCs w:val="32"/>
        </w:rPr>
      </w:pPr>
    </w:p>
    <w:p>
      <w:pPr>
        <w:widowControl w:val="0"/>
        <w:adjustRightInd/>
        <w:snapToGrid/>
        <w:spacing w:after="0" w:line="540" w:lineRule="exact"/>
        <w:rPr>
          <w:rFonts w:ascii="黑体" w:hAnsi="黑体" w:eastAsia="黑体" w:cs="方正小标宋简体"/>
          <w:color w:val="auto"/>
          <w:sz w:val="32"/>
          <w:szCs w:val="32"/>
        </w:rPr>
      </w:pPr>
    </w:p>
    <w:p>
      <w:pPr>
        <w:widowControl w:val="0"/>
        <w:adjustRightInd/>
        <w:snapToGrid/>
        <w:spacing w:after="0" w:line="540" w:lineRule="exact"/>
        <w:rPr>
          <w:rFonts w:ascii="黑体" w:hAnsi="黑体" w:eastAsia="黑体" w:cs="方正小标宋简体"/>
          <w:color w:val="auto"/>
          <w:sz w:val="32"/>
          <w:szCs w:val="32"/>
        </w:rPr>
      </w:pPr>
    </w:p>
    <w:p/>
    <w:sectPr>
      <w:pgSz w:w="16838" w:h="23811"/>
      <w:pgMar w:top="1417" w:right="130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C6D083A"/>
    <w:rsid w:val="0C6D0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widowControl w:val="0"/>
      <w:adjustRightInd/>
      <w:spacing w:after="0" w:line="360" w:lineRule="auto"/>
      <w:ind w:firstLine="200" w:firstLineChars="200"/>
      <w:jc w:val="both"/>
      <w:outlineLvl w:val="0"/>
    </w:pPr>
    <w:rPr>
      <w:rFonts w:ascii="Calibri" w:hAnsi="Calibri" w:eastAsia="黑体" w:cs="黑体"/>
      <w:b/>
      <w:bCs/>
      <w:kern w:val="44"/>
      <w:sz w:val="32"/>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4">
    <w:name w:val="footer"/>
    <w:basedOn w:val="1"/>
    <w:uiPriority w:val="0"/>
    <w:pPr>
      <w:tabs>
        <w:tab w:val="center" w:pos="4153"/>
        <w:tab w:val="right" w:pos="8306"/>
      </w:tabs>
      <w:snapToGrid w:val="0"/>
      <w:jc w:val="left"/>
    </w:pPr>
    <w:rPr>
      <w:sz w:val="18"/>
    </w:rPr>
  </w:style>
  <w:style w:type="character" w:styleId="7">
    <w:name w:val="page number"/>
    <w:basedOn w:val="6"/>
    <w:qFormat/>
    <w:uiPriority w:val="0"/>
  </w:style>
  <w:style w:type="character" w:customStyle="1" w:styleId="8">
    <w:name w:val="font41"/>
    <w:basedOn w:val="6"/>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2024-05-16T07:37:00Z</dcterms:created>
  <dc:creator>纯粹几何</dc:creator>
  <cp:lastModifiedBy>纯粹几何</cp:lastModifiedBy>
  <dcterms:modified xsi:type="dcterms:W3CDTF">2024-05-16T07:38:45Z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8C9032516B694A5F86C36192EDE5A46A_11</vt:lpwstr>
  </property>
</Properties>
</file>