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530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1701"/>
        <w:gridCol w:w="1559"/>
        <w:gridCol w:w="3260"/>
        <w:gridCol w:w="1701"/>
        <w:gridCol w:w="297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0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36"/>
              </w:rPr>
              <w:t>头孢氨苄药品联盟地区集团带量采购中选结果表</w:t>
            </w:r>
            <w:bookmarkEnd w:id="0"/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通用名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剂型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中选企业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包装数量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中选价格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最小制剂单位（元/粒、片）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零售单位包装价格(元/盒）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头孢氨苄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胶囊剂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0.25g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湖南科伦制药有限公司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24粒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0.1489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头孢氨苄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缓释片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0.25g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江苏豪森药业集团有限公司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20片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0.3900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7.8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B5D78"/>
    <w:rsid w:val="0A7B5D78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kern w:val="0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2021-06-29T08:39:00Z</dcterms:created>
  <dc:creator>dengd</dc:creator>
  <cp:lastModifiedBy>dengd</cp:lastModifiedBy>
  <dcterms:modified xsi:type="dcterms:W3CDTF">2021-06-29T08:39:32Z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