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580" w:lineRule="exact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0"/>
          <w:szCs w:val="32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0"/>
          <w:szCs w:val="32"/>
        </w:rPr>
        <w:t>第一批常用药</w:t>
      </w:r>
      <w:r>
        <w:rPr>
          <w:rFonts w:hint="eastAsia" w:ascii="方正小标宋简体" w:eastAsia="方正小标宋简体"/>
          <w:sz w:val="40"/>
          <w:szCs w:val="32"/>
        </w:rPr>
        <w:t>带量采购中选企业及品种表</w:t>
      </w:r>
    </w:p>
    <w:bookmarkEnd w:id="0"/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10207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580"/>
        <w:gridCol w:w="2740"/>
        <w:gridCol w:w="2140"/>
        <w:gridCol w:w="30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0"/>
              </w:rPr>
              <w:t>品种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0"/>
              </w:rPr>
              <w:t>包装规格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0"/>
              </w:rPr>
              <w:t>质量层次</w:t>
            </w:r>
          </w:p>
        </w:tc>
        <w:tc>
          <w:tcPr>
            <w:tcW w:w="3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0"/>
              </w:rPr>
              <w:t>生产企业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奥硝唑氯化钠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100ml(奥硝唑0.5g:氯化钠0.825g)*1瓶/瓶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第二质量层次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陕西金裕制药股份有限公司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奥硝唑氯化钠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100ml(奥硝唑0.25g:氯化钠0.825g)*1瓶/瓶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第二质量层次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陕西金裕制药股份有限公司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玻璃酸钠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2.5ml:25mg*1支/支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第一质量层次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Seikagaku Corporation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玻璃酸钠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2.5ml:25mg*1支/盒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第二质量层次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上海景峰制药有限公司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美洛西林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1g*10支/盒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第二质量层次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福安药业集团庆余堂制药有限公司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美洛西林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2g*10支/盒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第二质量层次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福安药业集团庆余堂制药有限公司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美洛西林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1g*8支/盒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第二质量层次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海南卫康制药（潜山）有限公司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噻托溴铵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18μg*10粒/盒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第一质量层次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Boehringer Ingelheim Pharma GmbH &amp; Co. 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噻托溴铵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18μg(含吸入器)*10粒/盒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第一质量层次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Boehringer Ingelheim Pharma GmbH &amp; Co. 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噻托溴铵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18μg(含吸入器)*30粒/盒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第一质量层次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Boehringer Ingelheim Pharma GmbH &amp; Co. 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噻托溴铵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18μg*30粒/盒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第二质量层次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浙江仙琚制药股份有限公司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噻托溴铵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18ug/吸*12粒/盒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第二质量层次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浙江仙琚制药股份有限公司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噻托溴铵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18μg(含吸入器)*30粒/盒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第二质量层次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浙江仙琚制药股份有限公司</w:t>
            </w:r>
          </w:p>
        </w:tc>
      </w:tr>
    </w:tbl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3257D"/>
    <w:rsid w:val="24171F74"/>
    <w:rsid w:val="2CA325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2021-09-30T14:58:00Z</dcterms:created>
  <dc:creator>dengd</dc:creator>
  <cp:lastModifiedBy>dengd</cp:lastModifiedBy>
  <dcterms:modified xsi:type="dcterms:W3CDTF">2021-09-30T14:58:53Z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