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right="641"/>
        <w:rPr>
          <w:rFonts w:hint="eastAsia" w:ascii="黑体" w:hAnsi="黑体" w:eastAsia="黑体" w:cs="仿宋_GB2312"/>
          <w:kern w:val="0"/>
          <w:sz w:val="32"/>
          <w:szCs w:val="32"/>
        </w:rPr>
      </w:pPr>
      <w:r>
        <w:rPr>
          <w:rFonts w:hint="eastAsia" w:ascii="黑体" w:hAnsi="黑体" w:eastAsia="黑体" w:cs="仿宋_GB2312"/>
          <w:kern w:val="0"/>
          <w:sz w:val="32"/>
          <w:szCs w:val="32"/>
        </w:rPr>
        <w:t>附件1</w:t>
      </w:r>
    </w:p>
    <w:p>
      <w:pPr>
        <w:spacing w:line="540" w:lineRule="exact"/>
        <w:ind w:right="641"/>
        <w:rPr>
          <w:rFonts w:hint="eastAsia" w:ascii="仿宋_GB2312" w:hAnsi="仿宋_GB2312" w:eastAsia="仿宋_GB2312" w:cs="仿宋_GB2312"/>
          <w:kern w:val="0"/>
          <w:sz w:val="32"/>
          <w:szCs w:val="32"/>
        </w:rPr>
      </w:pPr>
    </w:p>
    <w:p>
      <w:pPr>
        <w:spacing w:line="540" w:lineRule="exact"/>
        <w:ind w:right="641"/>
        <w:jc w:val="center"/>
        <w:rPr>
          <w:rFonts w:hint="eastAsia" w:ascii="方正小标宋简体" w:hAnsi="仿宋_GB2312" w:eastAsia="方正小标宋简体" w:cs="仿宋_GB2312"/>
          <w:kern w:val="0"/>
          <w:sz w:val="40"/>
          <w:szCs w:val="32"/>
        </w:rPr>
      </w:pPr>
      <w:r>
        <w:rPr>
          <w:rFonts w:hint="eastAsia" w:ascii="方正小标宋简体" w:hAnsi="仿宋_GB2312" w:eastAsia="方正小标宋简体" w:cs="仿宋_GB2312"/>
          <w:kern w:val="0"/>
          <w:sz w:val="40"/>
          <w:szCs w:val="32"/>
        </w:rPr>
        <w:t>第五批国家组织药品集中采购（广西）</w:t>
      </w:r>
    </w:p>
    <w:p>
      <w:pPr>
        <w:spacing w:line="540" w:lineRule="exact"/>
        <w:ind w:right="641"/>
        <w:jc w:val="center"/>
        <w:rPr>
          <w:rFonts w:hint="eastAsia" w:ascii="方正小标宋简体" w:hAnsi="仿宋_GB2312" w:eastAsia="方正小标宋简体" w:cs="仿宋_GB2312"/>
          <w:kern w:val="0"/>
          <w:sz w:val="40"/>
          <w:szCs w:val="32"/>
        </w:rPr>
      </w:pPr>
      <w:bookmarkStart w:id="0" w:name="_GoBack"/>
      <w:r>
        <w:rPr>
          <w:rFonts w:hint="eastAsia" w:ascii="方正小标宋简体" w:hAnsi="仿宋_GB2312" w:eastAsia="方正小标宋简体" w:cs="仿宋_GB2312"/>
          <w:kern w:val="0"/>
          <w:sz w:val="40"/>
          <w:szCs w:val="32"/>
        </w:rPr>
        <w:t>中选后供应品种清单</w:t>
      </w:r>
    </w:p>
    <w:bookmarkEnd w:id="0"/>
    <w:tbl>
      <w:tblPr>
        <w:tblStyle w:val="3"/>
        <w:tblpPr w:leftFromText="180" w:rightFromText="180" w:vertAnchor="text" w:horzAnchor="page" w:tblpX="457" w:tblpY="490"/>
        <w:tblOverlap w:val="never"/>
        <w:tblW w:w="11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238"/>
        <w:gridCol w:w="851"/>
        <w:gridCol w:w="992"/>
        <w:gridCol w:w="1701"/>
        <w:gridCol w:w="2126"/>
        <w:gridCol w:w="796"/>
        <w:gridCol w:w="189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blHeader/>
        </w:trPr>
        <w:tc>
          <w:tcPr>
            <w:tcW w:w="605" w:type="dxa"/>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品种序号</w:t>
            </w:r>
          </w:p>
        </w:tc>
        <w:tc>
          <w:tcPr>
            <w:tcW w:w="1238" w:type="dxa"/>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药品通用名</w:t>
            </w:r>
          </w:p>
        </w:tc>
        <w:tc>
          <w:tcPr>
            <w:tcW w:w="851" w:type="dxa"/>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剂型</w:t>
            </w:r>
          </w:p>
        </w:tc>
        <w:tc>
          <w:tcPr>
            <w:tcW w:w="992" w:type="dxa"/>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规格</w:t>
            </w:r>
          </w:p>
        </w:tc>
        <w:tc>
          <w:tcPr>
            <w:tcW w:w="1701" w:type="dxa"/>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包装数量</w:t>
            </w:r>
          </w:p>
        </w:tc>
        <w:tc>
          <w:tcPr>
            <w:tcW w:w="2126" w:type="dxa"/>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包装方式</w:t>
            </w:r>
          </w:p>
        </w:tc>
        <w:tc>
          <w:tcPr>
            <w:tcW w:w="796" w:type="dxa"/>
            <w:shd w:val="clear" w:color="auto" w:fill="auto"/>
            <w:vAlign w:val="center"/>
          </w:tcPr>
          <w:p>
            <w:pPr>
              <w:widowControl/>
              <w:spacing w:line="280" w:lineRule="exact"/>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计价</w:t>
            </w:r>
          </w:p>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w:t>
            </w:r>
          </w:p>
        </w:tc>
        <w:tc>
          <w:tcPr>
            <w:tcW w:w="1898" w:type="dxa"/>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生产企业</w:t>
            </w:r>
          </w:p>
        </w:tc>
        <w:tc>
          <w:tcPr>
            <w:tcW w:w="992" w:type="dxa"/>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中选价格（元）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ω-3鱼油中/长链脂肪乳注射液</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注射液</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100ml</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1瓶</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玻璃输液瓶装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瓶</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四川科伦药业股份有限公司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250ml</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1瓶</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玻璃输液瓶装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瓶</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阿法骨化醇软胶囊</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软胶囊</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0.25μg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10粒/板,2板/盒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外套复合膜袋的铝塑包装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正大制药（青岛）有限公司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阿立哌唑片</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片剂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28片/盒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双铝包装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东莞市阳之康医药有限责任公司(广东东阳光药业有限公司受托生产）</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28片/盒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双铝包装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阿昔洛韦片</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片剂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0.1g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12片/板*1板/盒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聚氯乙烯/聚偏二氯乙烯固体药用复合硬片/药用铝箔</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四川科伦药业股份有限公司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0.2g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12片/板*1板/盒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聚氯乙烯/聚偏二氯乙烯固体药用复合硬片/药用铝箔</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注射用艾司奥美拉唑钠</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冻干粉针</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20mg</w:t>
            </w:r>
          </w:p>
        </w:tc>
        <w:tc>
          <w:tcPr>
            <w:tcW w:w="170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10支/盒</w:t>
            </w:r>
          </w:p>
        </w:tc>
        <w:tc>
          <w:tcPr>
            <w:tcW w:w="2126"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中硼硅玻璃管制注射剂瓶，注射用冷冻干燥用覆聚乙烯四氟乙烯膜溴化丁基橡胶塞</w:t>
            </w:r>
          </w:p>
        </w:tc>
        <w:tc>
          <w:tcPr>
            <w:tcW w:w="796"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海南中玉药业有限公司</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40mg</w:t>
            </w:r>
          </w:p>
        </w:tc>
        <w:tc>
          <w:tcPr>
            <w:tcW w:w="170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10支/盒</w:t>
            </w:r>
          </w:p>
        </w:tc>
        <w:tc>
          <w:tcPr>
            <w:tcW w:w="2126"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中硼硅玻璃管制注射剂瓶，注射用冷冻干燥用覆聚乙烯四氟乙烯膜溴化丁基橡胶塞</w:t>
            </w:r>
          </w:p>
        </w:tc>
        <w:tc>
          <w:tcPr>
            <w:tcW w:w="796"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盐酸奥洛他定片</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片剂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12片/板*2板/盒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药品包装用铝箔；聚氯乙烯固体药用硬片。</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仁合益康集团有限公司(河北创健药业有限公司受托生产）</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12片/板*2板/盒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药品包装用铝箔；聚氯乙烯固体药用硬片。</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奥沙利铂注射液</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注射液</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50mg</w:t>
            </w:r>
          </w:p>
        </w:tc>
        <w:tc>
          <w:tcPr>
            <w:tcW w:w="170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1瓶/盒</w:t>
            </w:r>
          </w:p>
        </w:tc>
        <w:tc>
          <w:tcPr>
            <w:tcW w:w="2126"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中性硼硅玻璃注射剂瓶，氯化丁基涂层橡胶塞</w:t>
            </w:r>
          </w:p>
        </w:tc>
        <w:tc>
          <w:tcPr>
            <w:tcW w:w="796"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四川汇宇制药股份有限公司</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100mg</w:t>
            </w:r>
          </w:p>
        </w:tc>
        <w:tc>
          <w:tcPr>
            <w:tcW w:w="170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1瓶/盒</w:t>
            </w:r>
          </w:p>
        </w:tc>
        <w:tc>
          <w:tcPr>
            <w:tcW w:w="2126"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中性硼硅玻璃注射剂瓶，氯化丁基涂层橡胶塞</w:t>
            </w:r>
          </w:p>
        </w:tc>
        <w:tc>
          <w:tcPr>
            <w:tcW w:w="796"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盐酸贝那普利片</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片剂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14片/板*2板/盒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药用铝箔和聚氯乙烯/聚乙烯 /聚偏二氯乙烯固体药用复合硬片包装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上海新亚药业闵行有限公司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苯磺贝他斯汀片</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片剂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14片/板/盒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铝塑泡罩（药用铝箔和聚氯乙烯固体药用硬片），外加聚酯/铝/聚乙烯药用复合膜袋包装。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重庆华邦制药有限公司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苯磺顺阿曲库铵注射液</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注射液</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5ml:10mg</w:t>
            </w:r>
          </w:p>
        </w:tc>
        <w:tc>
          <w:tcPr>
            <w:tcW w:w="170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10瓶/盒</w:t>
            </w:r>
          </w:p>
        </w:tc>
        <w:tc>
          <w:tcPr>
            <w:tcW w:w="2126"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中性硼硅玻璃管制注射剂瓶、注射液用局部覆聚四氟乙烯膜溴化丁基胶塞和抗生素瓶用铝塑组合盖</w:t>
            </w:r>
          </w:p>
        </w:tc>
        <w:tc>
          <w:tcPr>
            <w:tcW w:w="796"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杭州澳亚生物技术股份有限公司</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比卡鲁胺片</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片剂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14片/板*2板/盒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铝塑包装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浙江海正药业股份有限公司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达比加群酯胶囊</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胶囊剂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30粒/瓶</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口服固体药用高密度聚乙烯瓶装（内置干燥剂）</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正大天晴药业集团股份有限公司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5粒/板*6板/盒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药用铝箔和聚酰胺/铝/聚氯乙烯冷冲压成型固体药用复合硬片泡罩包装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成都倍特药业股份有限公司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单硝酸异山梨酯缓释胶囊</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缓释胶囊</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12粒/板*2板/盒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聚氯乙烯固体药用硬片/药用铝箔</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合肥合源药业有限公司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注射用地西他滨</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冻干粉针</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注射用玻璃瓶</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杭州中美华东制药有限公司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碘海醇注射液</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注射液</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50ml:15g（I）</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30瓶/箱</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中硼硅玻璃输液瓶装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箱</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扬子江药业集团有限公司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1879.41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100ml:30g（I）</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30瓶/箱</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中硼硅玻璃输液瓶装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箱</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100ml:35g（I）</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中硼硅玻璃输液瓶装+注射液用卤化丁基橡胶塞（氯化）+ 输液瓶用铝塑组合盖</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北京北陆药业股份有限公司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碘克沙醇注射液</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注射液</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100ml:32g(I)</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1瓶</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中硼硅玻璃瓶，注射液用溴化丁基橡胶塞</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瓶</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南京正大天晴制药有限公司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度他雄胺软胶囊</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软胶囊</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10粒*1板/盒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本品采用聚氯乙烯/聚偏二氯乙烯固体药用复合硬片和药用铝箔密封包装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成都盛迪医药有限公司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多西他赛注射液</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注射液</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1ml:20mg</w:t>
            </w:r>
          </w:p>
        </w:tc>
        <w:tc>
          <w:tcPr>
            <w:tcW w:w="170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1支/盒</w:t>
            </w:r>
          </w:p>
        </w:tc>
        <w:tc>
          <w:tcPr>
            <w:tcW w:w="2126" w:type="dxa"/>
            <w:vMerge w:val="restart"/>
            <w:shd w:val="clear" w:color="auto" w:fill="auto"/>
            <w:vAlign w:val="center"/>
          </w:tcPr>
          <w:p>
            <w:pPr>
              <w:widowControl/>
              <w:spacing w:line="26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西林瓶包装（中硼硅玻璃管制注射剂瓶、注射液用覆聚四氟乙烯/六氟丙烯的共聚物膜氯化丁基橡胶塞）</w:t>
            </w:r>
          </w:p>
        </w:tc>
        <w:tc>
          <w:tcPr>
            <w:tcW w:w="796"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四川汇宇制药股份有限公司</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4ml:80mg</w:t>
            </w:r>
          </w:p>
        </w:tc>
        <w:tc>
          <w:tcPr>
            <w:tcW w:w="170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1支/盒</w:t>
            </w:r>
          </w:p>
        </w:tc>
        <w:tc>
          <w:tcPr>
            <w:tcW w:w="2126" w:type="dxa"/>
            <w:vMerge w:val="restart"/>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西林瓶包装（中硼硅玻璃管制注射剂瓶、注射液用覆聚四氟乙烯/六氟丙烯的共聚物膜氯化丁基橡胶塞）</w:t>
            </w:r>
          </w:p>
        </w:tc>
        <w:tc>
          <w:tcPr>
            <w:tcW w:w="796"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盐酸法舒地尔注射液</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注射液</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2ml:30mg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10支/盒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中硼硅玻璃安瓿（棕色）</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扬子江药业集团广州海瑞药业有限公司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吸入用复方异丙托溴铵溶液</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吸入用溶液剂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2.5ml:异丙托溴铵0.5mg+沙丁胺醇2.5mg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5支/盒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中硼硅玻璃安瓿</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仁合利健制药（天津）有限公司(河北仁合益康药业有限公司受托生产）</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605" w:type="dxa"/>
            <w:vMerge w:val="restart"/>
            <w:shd w:val="clear" w:color="auto" w:fill="FFFFFF"/>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格列吡嗪</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控释片</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7片/板*4板/盒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聚酰胺/铝/聚氯乙烯冷冲压成型固体药用复合硬片和药用铝箔</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北京红林制药有限公司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片剂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24片/板*2板/盒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铝塑包装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珠海联邦制药股份有限公司中山分公司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格隆溴铵注射液</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注射液</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1ml:0.2mg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5支/盒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玻璃安瓿</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广东嘉博制药有限公司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注射用更昔洛韦</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冻干粉针</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0.25g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中硼硅玻璃管制注射剂瓶、注射用冷冻干燥无菌粉末用覆聚四氟乙烯/乙烯共聚物膜氯化丁基橡胶塞和抗生素瓶用铝塑组合盖。</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武汉普生制药有限公司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0.5g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中硼硅玻璃管制注射剂瓶、注射用冷冻干燥无菌粉末用覆聚四氟乙烯/乙烯共聚物膜氯化丁基橡胶塞和抗生素瓶用铝塑组合盖。</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枸橼酸氢钾钠颗粒</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颗粒剂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2.4275g/2.5g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40袋/盒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聚酯/铝/聚乙烯药用复合膜袋</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浙江施强制药有限公司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注射用盐酸吉西他滨</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冻干粉针</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0.2g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8支/盒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中性硼硅玻璃管制注射剂瓶包装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齐鲁制药（海南）有限公司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1g</w:t>
            </w:r>
          </w:p>
        </w:tc>
        <w:tc>
          <w:tcPr>
            <w:tcW w:w="170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5支/盒</w:t>
            </w:r>
          </w:p>
        </w:tc>
        <w:tc>
          <w:tcPr>
            <w:tcW w:w="2126"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中性硼硅玻璃模制注射剂瓶包装</w:t>
            </w:r>
          </w:p>
        </w:tc>
        <w:tc>
          <w:tcPr>
            <w:tcW w:w="796"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注射用兰索拉唑</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冻干粉针</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中性硼酸玻璃管制镀二甲基硅氧烷膜注射剂瓶+G20-D1c 型冷冻干燥注射用局部覆聚四氟乙烯膜卤化丁基橡胶塞（溴化）</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上海上药新亚药业有限公司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盐酸乐卡地平片</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片剂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14片/盒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不透明PVC/铝箔</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安徽宏业药业有限公司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利伐沙班片</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片剂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10片/板*3板/盒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铝塑水泡眼包装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江苏中邦制药有限公司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28片/盒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铝塑包装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东莞市阳之康医药有限责任公司(广东东阳光药业有限公司受托生产）</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14片/板,1板/袋,1 袋/盒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聚氯乙烯固体药用硬片和药用铝箔，外加聚酯/铝/聚乙烯药用复合膜、袋包装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齐鲁制药有限公司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硫辛酸注射液</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注射液</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12ml:300mg</w:t>
            </w:r>
          </w:p>
        </w:tc>
        <w:tc>
          <w:tcPr>
            <w:tcW w:w="170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5支/盒</w:t>
            </w:r>
          </w:p>
        </w:tc>
        <w:tc>
          <w:tcPr>
            <w:tcW w:w="2126"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中硼硅玻璃安瓿（棕色）</w:t>
            </w:r>
          </w:p>
        </w:tc>
        <w:tc>
          <w:tcPr>
            <w:tcW w:w="796"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成都倍特药业股份有限公司</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盐酸罗哌卡因注射液</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注射液</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10ml:100mg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5支/盒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中硼硅玻璃安瓿</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江苏恒瑞医药股份有限公司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氯化钾缓释片</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缓释片</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0.5g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8片/板,6板/盒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聚氯乙烯/聚偏二氯乙烯固体药用复合硬片、药品包装用铝箔</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广州誉东健康制药有限公司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酒石酸美托洛尔片</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片剂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30片/盒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铝塑包装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珠海同源药业有限公司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60片/盒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铝塑包装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30片/盒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铝塑包装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米格列醇片</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片剂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10片*3板/盒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铝塑包装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浙江医药股份有限公司(浙江医药股份有限公司新昌制药厂受托生产）</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米索前列醇片</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片剂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0.2mg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3片/板/盒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复合铝塑包装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华润紫竹药业有限公司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盐酸帕洛诺司琼注射液</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注射液</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5ml:0.25mg</w:t>
            </w:r>
          </w:p>
        </w:tc>
        <w:tc>
          <w:tcPr>
            <w:tcW w:w="170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5支/盒</w:t>
            </w:r>
          </w:p>
        </w:tc>
        <w:tc>
          <w:tcPr>
            <w:tcW w:w="2126"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中硼硅玻璃瓶包装</w:t>
            </w:r>
          </w:p>
        </w:tc>
        <w:tc>
          <w:tcPr>
            <w:tcW w:w="796"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齐鲁制药（海南）有限公司</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沙格列汀片</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片剂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7片/板*4板/盒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铝铝泡罩包装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江苏豪森药业集团有限公司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7片/板*4板/盒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铝铝泡罩包装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盐酸文拉法辛缓释胶囊</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缓释胶囊</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7粒/板*1板/盒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铝塑包装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海南合瑞制药股份有限公司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7粒/板*1板/盒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铝塑包装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盐酸西那卡塞片</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片剂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10片/板*2板/盒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铝塑包装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北京百奥药业有限责任公司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注射用胸腺法新</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冻干粉针</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中硼硅玻璃管制注射剂瓶和注射用冷冻干燥无菌粉末用氯化丁基橡胶塞</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江苏诺泰澳赛诺生物制药股份有限公司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盐酸异丙嗪片</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片剂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100片/瓶</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口服固体药用高密度聚乙烯瓶包装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瓶</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天津力生制药股份有限公司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吸入用异丙托溴铵溶液</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吸入用溶液剂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2ml:0.5mg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10支/袋*1袋/盒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内包装为吸入溶液用低密度聚乙烯瓶，外包装为纸/铝/ 聚乙烯药用复合袋</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健康元药业集团股份有限公司(深圳太太药业有限公司，健康元海滨药业有限公司受托生产）</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脂肪乳氨基酸(17)葡萄糖(11%)注射液</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注射液</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900ml</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4袋/箱</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三腔输液袋（Biofine三腔袋）</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箱</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1440ml</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4袋/箱</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三腔输液袋（Biofine三腔袋）</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箱</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费森尤斯卡比华瑞制药有限公司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1920ml</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4袋/箱</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三腔输液袋（Biofine三腔袋）</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箱</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中/长链脂肪乳注射液（C8~24 Ve）</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注射液</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250ml(20%)</w:t>
            </w:r>
          </w:p>
        </w:tc>
        <w:tc>
          <w:tcPr>
            <w:tcW w:w="170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20袋/箱</w:t>
            </w:r>
          </w:p>
        </w:tc>
        <w:tc>
          <w:tcPr>
            <w:tcW w:w="2126"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外阻隔袋三层共挤输液用袋</w:t>
            </w:r>
          </w:p>
        </w:tc>
        <w:tc>
          <w:tcPr>
            <w:tcW w:w="796"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箱</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广东嘉博制药有限公司</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922.63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6"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注射用盐酸苯达莫司汀</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冻干粉针</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棕色中硼硅玻璃管制注射剂瓶，注射用冷冻干燥无菌粉末用覆聚四氟乙烯/乙烯共聚物膜氯化丁基橡胶塞，抗生素瓶用铝塑组合盖</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正大天晴药业集团股份有限公司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紫杉醇注射液</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注射液</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5ml:30mg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中硼硅玻璃注射剂瓶装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四川汇宇制药股份有限公司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16.7ml:100mg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中硼硅玻璃注射剂瓶装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注射用阿奇霉素</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冻干粉针</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0.5g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中硼硅玻璃管制注射剂瓶、注射用冷冻干燥用溴化丁基橡胶塞包装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石药集团欧意药业有限公司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6"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吸入用布地奈德混悬液</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吸入混悬液</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2ml:1mg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10支/盒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内包装为吸入溶液用低密度聚乙烯瓶，外包装为铝箔袋</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健康元药业集团股份有限公司(深圳太太药业有限公司，健康元海滨药业有限公司受托生产）</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氟康唑氯化钠注射液</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注射液</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100ml:氟康唑0.2g与氯化钠0.9g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80袋/箱</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三层共挤膜输液袋</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箱</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石家庄四药有限公司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0"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利奈唑胺葡萄糖注射液</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注射液</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100ml:利奈唑胺200mg与葡萄糖4.57g</w:t>
            </w:r>
          </w:p>
        </w:tc>
        <w:tc>
          <w:tcPr>
            <w:tcW w:w="170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100袋/箱</w:t>
            </w:r>
          </w:p>
        </w:tc>
        <w:tc>
          <w:tcPr>
            <w:tcW w:w="2126"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采用供单次使用的、即用型的直立式聚丙烯输液袋、塑料输液容器用聚丙烯组合盖（拉环式）作为内包装，外套聚酯/铝/聚乙烯药品包装用复合膜袋</w:t>
            </w:r>
          </w:p>
        </w:tc>
        <w:tc>
          <w:tcPr>
            <w:tcW w:w="796"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箱</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湖南科伦制药有限公司</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2026.96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300ml:利奈唑胺600mg与葡萄糖13.7g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30袋/箱</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采用供单次使用的、即用型的直立式聚丙烯输液袋、塑料输液容器用聚丙烯组合盖（拉环式）作为内包装，外套聚酯/铝/聚乙烯药品包装用复合膜袋</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箱</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盐酸莫西沙星滴眼液</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滴眼剂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3ml:15mg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1支/盒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低密度聚乙烯药用滴眼剂瓶</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江西科伦药业有限公司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替硝唑片</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片剂</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0.5g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10片/板*2板/盒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聚氯乙烯/聚偏二氯乙烯固体药用复合硬片/药用铝箔</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四川科伦药业股份有限公司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注射用头孢呋辛钠</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普通粉针</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0.75g</w:t>
            </w:r>
          </w:p>
        </w:tc>
        <w:tc>
          <w:tcPr>
            <w:tcW w:w="170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10瓶/盒</w:t>
            </w:r>
          </w:p>
        </w:tc>
        <w:tc>
          <w:tcPr>
            <w:tcW w:w="2126"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中硼硅玻璃管制注射剂瓶、注射用无菌粉末用覆聚酯膜卤化丁基橡胶塞。</w:t>
            </w:r>
          </w:p>
        </w:tc>
        <w:tc>
          <w:tcPr>
            <w:tcW w:w="796"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浙江惠迪森药业有限公司</w:t>
            </w: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1.5g</w:t>
            </w:r>
          </w:p>
        </w:tc>
        <w:tc>
          <w:tcPr>
            <w:tcW w:w="170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10瓶/盒</w:t>
            </w:r>
          </w:p>
        </w:tc>
        <w:tc>
          <w:tcPr>
            <w:tcW w:w="2126"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中硼硅玻璃管制注射剂瓶、注射用无菌粉末用覆聚酯膜卤化丁基橡胶塞。</w:t>
            </w:r>
          </w:p>
        </w:tc>
        <w:tc>
          <w:tcPr>
            <w:tcW w:w="796"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05" w:type="dxa"/>
            <w:vMerge w:val="continue"/>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c>
          <w:tcPr>
            <w:tcW w:w="1701" w:type="dxa"/>
            <w:vMerge w:val="continue"/>
            <w:vAlign w:val="center"/>
          </w:tcPr>
          <w:p>
            <w:pPr>
              <w:widowControl/>
              <w:spacing w:line="280" w:lineRule="exact"/>
              <w:jc w:val="left"/>
              <w:rPr>
                <w:rFonts w:ascii="宋体" w:hAnsi="宋体" w:eastAsia="宋体" w:cs="宋体"/>
                <w:color w:val="000000"/>
                <w:kern w:val="0"/>
                <w:sz w:val="18"/>
                <w:szCs w:val="18"/>
              </w:rPr>
            </w:pPr>
          </w:p>
        </w:tc>
        <w:tc>
          <w:tcPr>
            <w:tcW w:w="2126" w:type="dxa"/>
            <w:vMerge w:val="continue"/>
            <w:vAlign w:val="center"/>
          </w:tcPr>
          <w:p>
            <w:pPr>
              <w:widowControl/>
              <w:spacing w:line="280" w:lineRule="exact"/>
              <w:jc w:val="left"/>
              <w:rPr>
                <w:rFonts w:ascii="宋体" w:hAnsi="宋体" w:eastAsia="宋体" w:cs="宋体"/>
                <w:color w:val="000000"/>
                <w:kern w:val="0"/>
                <w:sz w:val="18"/>
                <w:szCs w:val="18"/>
              </w:rPr>
            </w:pPr>
          </w:p>
        </w:tc>
        <w:tc>
          <w:tcPr>
            <w:tcW w:w="796" w:type="dxa"/>
            <w:vMerge w:val="continue"/>
            <w:vAlign w:val="center"/>
          </w:tcPr>
          <w:p>
            <w:pPr>
              <w:widowControl/>
              <w:spacing w:line="280" w:lineRule="exact"/>
              <w:jc w:val="left"/>
              <w:rPr>
                <w:rFonts w:ascii="宋体" w:hAnsi="宋体" w:eastAsia="宋体" w:cs="宋体"/>
                <w:color w:val="000000"/>
                <w:kern w:val="0"/>
                <w:sz w:val="18"/>
                <w:szCs w:val="18"/>
              </w:rPr>
            </w:pPr>
          </w:p>
        </w:tc>
        <w:tc>
          <w:tcPr>
            <w:tcW w:w="1898" w:type="dxa"/>
            <w:vMerge w:val="continue"/>
            <w:vAlign w:val="center"/>
          </w:tcPr>
          <w:p>
            <w:pPr>
              <w:widowControl/>
              <w:spacing w:line="280" w:lineRule="exact"/>
              <w:jc w:val="left"/>
              <w:rPr>
                <w:rFonts w:ascii="宋体" w:hAnsi="宋体" w:eastAsia="宋体" w:cs="宋体"/>
                <w:color w:val="000000"/>
                <w:kern w:val="0"/>
                <w:sz w:val="18"/>
                <w:szCs w:val="18"/>
              </w:rPr>
            </w:pPr>
          </w:p>
        </w:tc>
        <w:tc>
          <w:tcPr>
            <w:tcW w:w="992" w:type="dxa"/>
            <w:vMerge w:val="continue"/>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注射用头孢曲松钠</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溶媒结晶</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0.25g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采用中硼硅玻璃管制注射剂瓶、注射用无菌粉末用局部覆聚四氟乙烯膜溴化丁基橡胶塞和抗生素瓶用铝塑组合盖包装。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山东润泽制药有限公司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FFFFFF"/>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0.5g</w:t>
            </w:r>
          </w:p>
        </w:tc>
        <w:tc>
          <w:tcPr>
            <w:tcW w:w="1701" w:type="dxa"/>
            <w:shd w:val="clear" w:color="auto" w:fill="FFFFFF"/>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10瓶/盒</w:t>
            </w:r>
          </w:p>
        </w:tc>
        <w:tc>
          <w:tcPr>
            <w:tcW w:w="2126" w:type="dxa"/>
            <w:shd w:val="clear" w:color="auto" w:fill="FFFFFF"/>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采用中硼硅玻璃管制注射剂瓶、注射用无菌粉末用局部覆聚四氟乙烯膜溴化丁基橡胶塞和抗生素瓶用铝塑组合盖包装。</w:t>
            </w:r>
          </w:p>
        </w:tc>
        <w:tc>
          <w:tcPr>
            <w:tcW w:w="796" w:type="dxa"/>
            <w:shd w:val="clear" w:color="auto" w:fill="FFFFFF"/>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FFFFFF"/>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采用中硼硅玻璃管制注射剂瓶、注射用无菌粉末用局部覆聚四氟乙烯膜溴化丁基橡胶塞和抗生素瓶用铝塑组合盖包装。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采用中硼硅玻璃管制注射剂瓶、注射用无菌粉末用局部覆聚四氟乙烯膜溴化丁基橡胶塞和抗生素瓶用铝塑组合盖包装。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采用中硼硅玻璃管制注射剂瓶、注射用无菌粉末用局部覆聚四氟乙烯膜溴化丁基橡胶塞和抗生素瓶用铝塑组合盖包装。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采用中硼硅玻璃管制注射剂瓶、注射用无菌粉末用局部覆聚四氟乙烯膜溴化丁基橡胶塞和抗生素瓶用铝塑组合盖包装。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60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123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注射用头孢他啶</w:t>
            </w:r>
          </w:p>
        </w:tc>
        <w:tc>
          <w:tcPr>
            <w:tcW w:w="851"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溶媒结晶</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0.5g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中硼硅玻璃管制注射剂瓶、注射用无菌粉末用卤化丁基橡胶塞（溴化）</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restart"/>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浙江巨泰药业有限公司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60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123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中硼硅玻璃管制注射剂瓶、注射用无菌粉末用卤化丁基橡胶塞（溴化）</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注射用头孢唑林钠</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普通粉针</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0.5g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10瓶/盒</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中硼硅玻璃管制注射剂瓶、注射用无菌粉末用覆聚四氟乙烯/六氟丙烯的共聚物膜氯化丁基橡胶塞和抗生素瓶用铝塑组合盖包装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成都倍特药业股份有限公司</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60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w:t>
            </w:r>
          </w:p>
        </w:tc>
        <w:tc>
          <w:tcPr>
            <w:tcW w:w="123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左氧氟沙星氯化钠注射液</w:t>
            </w:r>
          </w:p>
        </w:tc>
        <w:tc>
          <w:tcPr>
            <w:tcW w:w="85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注射液</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100ml:左氧氟沙星0.5g与氯化钠0.9g</w:t>
            </w:r>
          </w:p>
        </w:tc>
        <w:tc>
          <w:tcPr>
            <w:tcW w:w="1701"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1袋</w:t>
            </w:r>
          </w:p>
        </w:tc>
        <w:tc>
          <w:tcPr>
            <w:tcW w:w="2126"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五层共挤输液用袋包装</w:t>
            </w:r>
          </w:p>
        </w:tc>
        <w:tc>
          <w:tcPr>
            <w:tcW w:w="796"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袋</w:t>
            </w:r>
          </w:p>
        </w:tc>
        <w:tc>
          <w:tcPr>
            <w:tcW w:w="1898"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浙江医药股份有限公司(浙江医药股份有限公司新昌制药厂受托生产）</w:t>
            </w:r>
          </w:p>
        </w:tc>
        <w:tc>
          <w:tcPr>
            <w:tcW w:w="99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17.5</w:t>
            </w:r>
          </w:p>
        </w:tc>
      </w:tr>
    </w:tbl>
    <w:p>
      <w:pPr>
        <w:spacing w:line="540" w:lineRule="exact"/>
        <w:ind w:right="641"/>
        <w:rPr>
          <w:rFonts w:hint="eastAsia" w:ascii="仿宋_GB2312" w:hAnsi="仿宋_GB2312" w:eastAsia="仿宋_GB2312" w:cs="仿宋_GB2312"/>
          <w:kern w:val="0"/>
          <w:sz w:val="32"/>
          <w:szCs w:val="32"/>
        </w:rPr>
      </w:pPr>
    </w:p>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B6B44"/>
    <w:rsid w:val="24171F74"/>
    <w:rsid w:val="609B6B4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2021-12-29T12:34:00Z</dcterms:created>
  <dc:creator>dengd</dc:creator>
  <cp:lastModifiedBy>dengd</cp:lastModifiedBy>
  <dcterms:modified xsi:type="dcterms:W3CDTF">2021-12-29T12:34:34Z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