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1"/>
        <w:gridCol w:w="1059"/>
        <w:gridCol w:w="635"/>
        <w:gridCol w:w="918"/>
        <w:gridCol w:w="1818"/>
        <w:gridCol w:w="1058"/>
        <w:gridCol w:w="1042"/>
        <w:gridCol w:w="988"/>
        <w:gridCol w:w="688"/>
        <w:gridCol w:w="1641"/>
        <w:gridCol w:w="971"/>
        <w:gridCol w:w="741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7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广西壮族自治区医疗保障局直属事业单位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自治区医疗保障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基金监管事务中心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年度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广西壮族自治区医疗保障基金监管事务中心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劳动与社会保障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卫生事业管理、财务管理、人力资源管理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笔试加面试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工作经历、资历年限等有关资格条件的计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算，均</w:t>
            </w:r>
            <w:r>
              <w:rPr>
                <w:b/>
                <w:bCs/>
                <w:color w:val="auto"/>
                <w:kern w:val="0"/>
                <w:sz w:val="20"/>
                <w:szCs w:val="20"/>
                <w:u w:val="none"/>
              </w:rPr>
              <w:t>以202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3</w:t>
            </w:r>
            <w:r>
              <w:rPr>
                <w:b/>
                <w:bCs/>
                <w:color w:val="auto"/>
                <w:kern w:val="0"/>
                <w:sz w:val="20"/>
                <w:szCs w:val="20"/>
                <w:u w:val="none"/>
              </w:rPr>
              <w:t>年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6  </w:t>
            </w:r>
            <w:r>
              <w:rPr>
                <w:b/>
                <w:bCs/>
                <w:color w:val="auto"/>
                <w:kern w:val="0"/>
                <w:sz w:val="20"/>
                <w:szCs w:val="20"/>
                <w:u w:val="none"/>
              </w:rPr>
              <w:t>月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15</w:t>
            </w:r>
            <w:r>
              <w:rPr>
                <w:b/>
                <w:bCs/>
                <w:color w:val="auto"/>
                <w:kern w:val="0"/>
                <w:sz w:val="20"/>
                <w:szCs w:val="20"/>
                <w:u w:val="none"/>
              </w:rPr>
              <w:t>日为截止日期，按足年足月计算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临床医学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笔试加面试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中医学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有2年工作经历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笔试加面试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社会保障、社会医学与卫生事业管理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财务管理、人力资源管理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硕士</w:t>
            </w:r>
            <w:r>
              <w:rPr>
                <w:b/>
                <w:bCs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2023年应届毕业生和择业期内未落实工作单位的高校毕业生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b/>
                <w:bCs/>
                <w:kern w:val="0"/>
                <w:sz w:val="20"/>
                <w:szCs w:val="20"/>
                <w:lang w:val="en-US" w:eastAsia="zh-CN"/>
              </w:rPr>
              <w:t>通过报名资格审查人数在40名以上（含40名）的直接面试岗位（指同一岗位），则增加笔试环节，笔试结束择优筛选后与其他直接面试岗位一同进入面试环节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临床医学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硕士</w:t>
            </w:r>
            <w:r>
              <w:rPr>
                <w:b/>
                <w:bCs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2023年应届毕业生和择业期内未落实工作单位的高校毕业生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continue"/>
            <w:tcBorders>
              <w:left w:val="nil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医保稽核检查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中医学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类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硕士</w:t>
            </w:r>
            <w:r>
              <w:rPr>
                <w:b/>
                <w:bCs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2023年应届毕业生和择业期内未落实工作单位的高校毕业生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hhMzIzYzc2NmMxMTViM2JkOTM2NWUzZWZmYzQifQ=="/>
  </w:docVars>
  <w:rsids>
    <w:rsidRoot w:val="1A6E3DCF"/>
    <w:rsid w:val="1A6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99"/>
    <w:pPr>
      <w:spacing w:line="600" w:lineRule="exact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658</Characters>
  <Lines>0</Lines>
  <Paragraphs>0</Paragraphs>
  <TotalTime>2</TotalTime>
  <ScaleCrop>false</ScaleCrop>
  <LinksUpToDate>false</LinksUpToDate>
  <CharactersWithSpaces>661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2023-06-12T13:33:00Z</dcterms:created>
  <dc:creator>瘦鱼</dc:creator>
  <cp:lastModifiedBy>瘦鱼</cp:lastModifiedBy>
  <dcterms:modified xsi:type="dcterms:W3CDTF">2023-06-12T13:36:10Z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FFC1525CDA0D4C24924DDCB7488BC36A</vt:lpwstr>
  </property>
</Properties>
</file>