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hAnsi="微软雅黑" w:eastAsia="仿宋_GB2312"/>
          <w:b w:val="0"/>
          <w:bCs w:val="0"/>
          <w:color w:val="333333"/>
          <w:kern w:val="0"/>
          <w:sz w:val="32"/>
          <w:szCs w:val="32"/>
        </w:rPr>
      </w:pPr>
      <w:bookmarkStart w:id="5" w:name="_GoBack"/>
      <w:bookmarkEnd w:id="5"/>
      <w:r>
        <w:rPr>
          <w:rFonts w:hint="eastAsia" w:ascii="仿宋_GB2312" w:hAnsi="微软雅黑" w:eastAsia="仿宋_GB2312"/>
          <w:b w:val="0"/>
          <w:bCs w:val="0"/>
          <w:color w:val="333333"/>
          <w:kern w:val="0"/>
          <w:sz w:val="32"/>
          <w:szCs w:val="32"/>
        </w:rPr>
        <w:t>附件</w:t>
      </w:r>
    </w:p>
    <w:p>
      <w:pPr>
        <w:pStyle w:val="2"/>
        <w:jc w:val="center"/>
        <w:rPr>
          <w:rFonts w:ascii="方正小标宋_GBK" w:hAnsi="方正小标宋_GBK" w:eastAsia="方正小标宋_GBK"/>
          <w:b w:val="0"/>
          <w:bCs w:val="0"/>
          <w:sz w:val="30"/>
        </w:rPr>
      </w:pPr>
      <w:bookmarkStart w:id="0" w:name="_Toc24724709"/>
      <w:r>
        <w:rPr>
          <w:rFonts w:hint="eastAsia" w:ascii="方正小标宋简体" w:hAnsi="微软雅黑" w:eastAsia="方正小标宋简体"/>
          <w:b w:val="0"/>
          <w:bCs w:val="0"/>
          <w:color w:val="333333"/>
          <w:kern w:val="0"/>
        </w:rPr>
        <w:t>广西壮族自治区医疗保障领域基层政务公开标准目录</w:t>
      </w:r>
      <w:bookmarkEnd w:id="0"/>
      <w:r>
        <w:rPr>
          <w:rFonts w:hint="eastAsia" w:ascii="方正小标宋简体" w:hAnsi="微软雅黑" w:eastAsia="方正小标宋简体"/>
          <w:b w:val="0"/>
          <w:color w:val="333333"/>
          <w:kern w:val="0"/>
        </w:rPr>
        <w:t>（试行）</w:t>
      </w:r>
    </w:p>
    <w:tbl>
      <w:tblPr>
        <w:tblStyle w:val="7"/>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016"/>
        <w:gridCol w:w="1727"/>
        <w:gridCol w:w="1845"/>
        <w:gridCol w:w="1890"/>
        <w:gridCol w:w="1620"/>
        <w:gridCol w:w="540"/>
        <w:gridCol w:w="709"/>
        <w:gridCol w:w="597"/>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kern w:val="0"/>
                <w:sz w:val="22"/>
              </w:rPr>
            </w:pPr>
            <w:r>
              <w:rPr>
                <w:rFonts w:hAnsi="宋体"/>
                <w:kern w:val="0"/>
                <w:sz w:val="22"/>
              </w:rPr>
              <w:t>序号</w:t>
            </w:r>
          </w:p>
        </w:tc>
        <w:tc>
          <w:tcPr>
            <w:tcW w:w="21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01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727" w:type="dxa"/>
            <w:vMerge w:val="restart"/>
          </w:tcPr>
          <w:p>
            <w:pPr>
              <w:jc w:val="left"/>
              <w:rPr>
                <w:rFonts w:ascii="黑体" w:hAnsi="宋体" w:eastAsia="黑体" w:cs="宋体"/>
                <w:kern w:val="0"/>
                <w:sz w:val="22"/>
              </w:rPr>
            </w:pPr>
          </w:p>
          <w:p>
            <w:pPr>
              <w:widowControl/>
              <w:jc w:val="center"/>
              <w:rPr>
                <w:rFonts w:ascii="黑体" w:hAnsi="宋体" w:eastAsia="黑体" w:cs="宋体"/>
                <w:kern w:val="0"/>
                <w:sz w:val="22"/>
              </w:rPr>
            </w:pPr>
          </w:p>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84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9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016" w:type="dxa"/>
            <w:vMerge w:val="continue"/>
            <w:vAlign w:val="center"/>
          </w:tcPr>
          <w:p>
            <w:pPr>
              <w:widowControl/>
              <w:jc w:val="left"/>
              <w:rPr>
                <w:rFonts w:ascii="黑体" w:hAnsi="宋体" w:eastAsia="黑体" w:cs="宋体"/>
                <w:kern w:val="0"/>
                <w:sz w:val="22"/>
              </w:rPr>
            </w:pPr>
          </w:p>
        </w:tc>
        <w:tc>
          <w:tcPr>
            <w:tcW w:w="1727" w:type="dxa"/>
            <w:vMerge w:val="continue"/>
          </w:tcPr>
          <w:p>
            <w:pPr>
              <w:widowControl/>
              <w:jc w:val="left"/>
              <w:rPr>
                <w:rFonts w:ascii="黑体" w:hAnsi="宋体" w:eastAsia="黑体" w:cs="宋体"/>
                <w:kern w:val="0"/>
                <w:sz w:val="22"/>
              </w:rPr>
            </w:pPr>
          </w:p>
        </w:tc>
        <w:tc>
          <w:tcPr>
            <w:tcW w:w="1845" w:type="dxa"/>
            <w:vMerge w:val="continue"/>
            <w:vAlign w:val="center"/>
          </w:tcPr>
          <w:p>
            <w:pPr>
              <w:widowControl/>
              <w:jc w:val="left"/>
              <w:rPr>
                <w:rFonts w:ascii="黑体" w:hAnsi="宋体" w:eastAsia="黑体" w:cs="宋体"/>
                <w:kern w:val="0"/>
                <w:sz w:val="22"/>
              </w:rPr>
            </w:pPr>
          </w:p>
        </w:tc>
        <w:tc>
          <w:tcPr>
            <w:tcW w:w="189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9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67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综合业务</w:t>
            </w:r>
          </w:p>
          <w:p>
            <w:pPr>
              <w:jc w:val="left"/>
              <w:rPr>
                <w:rFonts w:ascii="黑体" w:hAnsi="黑体" w:eastAsia="黑体"/>
                <w:b/>
                <w:color w:val="auto"/>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国家、省和市有关医疗保障的法律、法规、政策文件</w:t>
            </w:r>
          </w:p>
        </w:tc>
        <w:tc>
          <w:tcPr>
            <w:tcW w:w="2016" w:type="dxa"/>
            <w:vAlign w:val="center"/>
          </w:tcPr>
          <w:p>
            <w:pPr>
              <w:rPr>
                <w:rFonts w:ascii="仿宋_GB2312" w:hAnsi="宋体" w:eastAsia="仿宋_GB2312"/>
                <w:sz w:val="18"/>
                <w:szCs w:val="18"/>
              </w:rPr>
            </w:pPr>
            <w:r>
              <w:rPr>
                <w:rFonts w:hint="eastAsia" w:ascii="仿宋_GB2312" w:hAnsi="宋体" w:eastAsia="仿宋_GB2312"/>
                <w:sz w:val="18"/>
                <w:szCs w:val="18"/>
              </w:rPr>
              <w:t>文件名称、文号、发文部门。</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制定或获取文件之日起20个工作日内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 xml:space="preserve">■两微一端                                                                                                                                                                                                 </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机构职能</w:t>
            </w:r>
          </w:p>
        </w:tc>
        <w:tc>
          <w:tcPr>
            <w:tcW w:w="2016" w:type="dxa"/>
            <w:vAlign w:val="center"/>
          </w:tcPr>
          <w:p>
            <w:pPr>
              <w:rPr>
                <w:rFonts w:ascii="仿宋_GB2312" w:hAnsi="宋体" w:eastAsia="仿宋_GB2312"/>
                <w:sz w:val="18"/>
                <w:szCs w:val="18"/>
              </w:rPr>
            </w:pPr>
            <w:r>
              <w:rPr>
                <w:rFonts w:hint="eastAsia" w:ascii="仿宋_GB2312" w:hAnsi="宋体" w:eastAsia="仿宋_GB2312"/>
                <w:sz w:val="18"/>
                <w:szCs w:val="18"/>
              </w:rPr>
              <w:t>机构基本概况、职能介绍、领导信息。</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制定或获取文件之日起20个工作日内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continue"/>
            <w:vAlign w:val="center"/>
          </w:tcPr>
          <w:p>
            <w:pP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办事指南</w:t>
            </w:r>
          </w:p>
        </w:tc>
        <w:tc>
          <w:tcPr>
            <w:tcW w:w="2016" w:type="dxa"/>
            <w:vAlign w:val="center"/>
          </w:tcPr>
          <w:p>
            <w:pPr>
              <w:rPr>
                <w:rFonts w:ascii="仿宋_GB2312" w:hAnsi="宋体" w:eastAsia="仿宋_GB2312"/>
                <w:sz w:val="18"/>
                <w:szCs w:val="18"/>
              </w:rPr>
            </w:pPr>
            <w:r>
              <w:rPr>
                <w:rFonts w:hint="eastAsia" w:ascii="仿宋_GB2312" w:hAnsi="宋体" w:eastAsia="仿宋_GB2312"/>
                <w:sz w:val="18"/>
                <w:szCs w:val="18"/>
              </w:rPr>
              <w:t>办理事项、办理条件、申请材料、办理流程、办理时间、地点、联系方式等。</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制定或获取指南之日起20个工作日内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restart"/>
            <w:vAlign w:val="center"/>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r>
              <w:rPr>
                <w:rFonts w:hint="eastAsia" w:ascii="仿宋_GB2312" w:hAnsi="宋体" w:eastAsia="仿宋_GB2312"/>
                <w:sz w:val="18"/>
                <w:szCs w:val="18"/>
              </w:rPr>
              <w:t>行政执法</w:t>
            </w:r>
          </w:p>
          <w:p>
            <w:pPr>
              <w:jc w:val="left"/>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权责清单</w:t>
            </w:r>
          </w:p>
        </w:tc>
        <w:tc>
          <w:tcPr>
            <w:tcW w:w="2016" w:type="dxa"/>
            <w:vAlign w:val="center"/>
          </w:tcPr>
          <w:p>
            <w:pPr>
              <w:rPr>
                <w:rFonts w:ascii="仿宋_GB2312" w:hAnsi="宋体" w:eastAsia="仿宋_GB2312"/>
                <w:sz w:val="18"/>
                <w:szCs w:val="18"/>
              </w:rPr>
            </w:pPr>
            <w:r>
              <w:rPr>
                <w:rFonts w:hint="eastAsia" w:ascii="仿宋_GB2312" w:hAnsi="宋体" w:eastAsia="仿宋_GB2312"/>
                <w:sz w:val="18"/>
                <w:szCs w:val="18"/>
              </w:rPr>
              <w:t>权责事项、设定依据、事项类别、行使层级等。</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》、《社会保险费征缴暂行条例》和《</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制定或获取清单之日起20个工作日内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医疗保障行政处罚信息</w:t>
            </w:r>
          </w:p>
        </w:tc>
        <w:tc>
          <w:tcPr>
            <w:tcW w:w="2016" w:type="dxa"/>
            <w:vAlign w:val="center"/>
          </w:tcPr>
          <w:p>
            <w:pPr>
              <w:rPr>
                <w:rFonts w:ascii="仿宋_GB2312" w:hAnsi="宋体" w:eastAsia="仿宋_GB2312"/>
                <w:sz w:val="18"/>
                <w:szCs w:val="18"/>
              </w:rPr>
            </w:pPr>
            <w:r>
              <w:rPr>
                <w:rFonts w:hint="eastAsia" w:ascii="仿宋_GB2312" w:hAnsi="宋体" w:eastAsia="仿宋_GB2312"/>
                <w:sz w:val="18"/>
                <w:szCs w:val="18"/>
              </w:rPr>
              <w:t>行政处罚事项及标准、监督方式及电话。</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》、《社会保险费征缴暂行条例》、《中华人民共和国行政强制法》、《中华人民共和国行政处罚法》及其他有关法律、行政法规、各地相关法规、信息公开规定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基金运行管理</w:t>
            </w:r>
          </w:p>
          <w:p>
            <w:pPr>
              <w:jc w:val="left"/>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医保基金运行情况</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医保基金运行、参保缴费等基本信息。</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7</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部门（单位）预决算信息</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部门（单位）预算、决算</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1.各部门的预算、决算及报表，应当在财政部门批复后20日内由部门向社会公开。部门预算、决算应当公开基本支出和项目支出。部门预算、决算支出按其功能分类应当公开到项；按其经济性质分类，基本支出应当公开到款。公开的部门预算、决算还应该包含机关运行经费、政府采购等情况。</w:t>
            </w:r>
          </w:p>
          <w:p>
            <w:pPr>
              <w:spacing w:after="240"/>
              <w:rPr>
                <w:rFonts w:ascii="仿宋_GB2312" w:hAnsi="宋体" w:eastAsia="仿宋_GB2312"/>
                <w:sz w:val="18"/>
                <w:szCs w:val="18"/>
              </w:rPr>
            </w:pPr>
            <w:r>
              <w:rPr>
                <w:rFonts w:hint="eastAsia" w:ascii="仿宋_GB2312" w:hAnsi="宋体" w:eastAsia="仿宋_GB2312"/>
                <w:sz w:val="18"/>
                <w:szCs w:val="18"/>
              </w:rPr>
              <w:t>2.各部门所属单位的预算、决算及报表，应当在部门批复后20日内由单位向社会公开。单位预算、决算应当公开基本支出和项目支出。单位预算、决算支出按其功能分类应当公开到项；按其经济性质分类，基本支出应当公开到款。公开的单位预算、决算还应该包含机关运行经费、政府采购等情况。</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》、《中华人民共和国预算法》、《中华人民共和国预算法实施条例》及相关规定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部门（单位）预算、决算批复后20个工作日内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p>
        </w:tc>
        <w:tc>
          <w:tcPr>
            <w:tcW w:w="540" w:type="dxa"/>
            <w:vAlign w:val="center"/>
          </w:tcPr>
          <w:p>
            <w:r>
              <w:rPr>
                <w:rFonts w:hint="eastAsia" w:ascii="仿宋_GB2312" w:hAnsi="微软雅黑" w:eastAsia="仿宋_GB2312"/>
                <w:b/>
                <w:bCs/>
                <w:color w:val="333333"/>
                <w:kern w:val="0"/>
              </w:rPr>
              <w:t>√</w:t>
            </w:r>
          </w:p>
        </w:tc>
        <w:tc>
          <w:tcPr>
            <w:tcW w:w="709" w:type="dxa"/>
            <w:vAlign w:val="center"/>
          </w:tcP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8</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部门（单位）预决算信息</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部门（单位）“三公”经费预算、决算</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1.各部门的“三公”经费预算、决算，应当在财政部门批复后20日内由部门向社会公开。部门公开的“三公”经费预算、决算应当包括基本支出和项目支出中安排的“三公”经费。按其经济性质分类，应当分别公开因公出国（境）费、公务接待费、公务用车运行维护费、公务用车购置情况，并对“三公”经费预算、决算增减变化原因作出说明。</w:t>
            </w:r>
          </w:p>
          <w:p>
            <w:pPr>
              <w:spacing w:after="240"/>
              <w:rPr>
                <w:rFonts w:ascii="仿宋_GB2312" w:hAnsi="宋体" w:eastAsia="仿宋_GB2312"/>
                <w:sz w:val="18"/>
                <w:szCs w:val="18"/>
              </w:rPr>
            </w:pPr>
            <w:r>
              <w:rPr>
                <w:rFonts w:hint="eastAsia" w:ascii="仿宋_GB2312" w:hAnsi="宋体" w:eastAsia="仿宋_GB2312"/>
                <w:sz w:val="18"/>
                <w:szCs w:val="18"/>
              </w:rPr>
              <w:t>2.各部门所属单位的“三公”经费预算、决算，应当在部门批复后20日内由单位向社会公开。单位公开的“三公”经费预算、决算应当包括基本支出和项目支出中安排的“三公”经费。按其经济性质分类，应当分别公开因公出国（境）费、公务接待费、公务用车运行维护费、公务用车购置情况，并对“三公”经费预算、决算增减变化原因作出说明。</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》、《中华人民共和国预算法》、《中华人民共和国预算法实施条例》及相关规定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部门（单位）“三公”经费预算、决算批复后20个工作日内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p>
        </w:tc>
        <w:tc>
          <w:tcPr>
            <w:tcW w:w="540" w:type="dxa"/>
            <w:vAlign w:val="center"/>
          </w:tcPr>
          <w:p>
            <w:r>
              <w:rPr>
                <w:rFonts w:hint="eastAsia" w:ascii="仿宋_GB2312" w:hAnsi="微软雅黑" w:eastAsia="仿宋_GB2312"/>
                <w:b/>
                <w:bCs/>
                <w:color w:val="333333"/>
                <w:kern w:val="0"/>
              </w:rPr>
              <w:t>√</w:t>
            </w:r>
          </w:p>
        </w:tc>
        <w:tc>
          <w:tcPr>
            <w:tcW w:w="709" w:type="dxa"/>
            <w:vAlign w:val="center"/>
          </w:tcP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9</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基本医疗保障事业发展统计公报信息</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基本医疗保障事业发展统计公报</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1.各部门应当在当年7月份由部门向社会公开上一年度本地区医疗保障事业发展统计公报信息。                                                           2.公开的信息应当包括基本医疗保险参保、就医、基金运行、医疗救助、医保扶贫情况、药品采购、医药支付改革、基金监管等情况信息，应覆盖单位各科室、股室职能职责范围内容。</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当年7月份公开上一年度信息</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p>
        </w:tc>
        <w:tc>
          <w:tcPr>
            <w:tcW w:w="540" w:type="dxa"/>
            <w:vAlign w:val="center"/>
          </w:tcPr>
          <w:p>
            <w:r>
              <w:rPr>
                <w:rFonts w:hint="eastAsia" w:ascii="仿宋_GB2312" w:hAnsi="微软雅黑" w:eastAsia="仿宋_GB2312"/>
                <w:b/>
                <w:bCs/>
                <w:color w:val="333333"/>
                <w:kern w:val="0"/>
              </w:rPr>
              <w:t>√</w:t>
            </w:r>
          </w:p>
        </w:tc>
        <w:tc>
          <w:tcPr>
            <w:tcW w:w="709" w:type="dxa"/>
            <w:vAlign w:val="center"/>
          </w:tcP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10</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基本医疗保险基金预决算信息</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基本医疗保险基金预算、决算报告</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各部门基本医疗保险基金预算、决算情况报告，应当在人大常委会批复后20日内由部门向社会公开。部门公开的基本医疗保险基金预算、决算应当包括城镇职工基本医疗保险、城乡居民基本医疗保险的基金总收入、总支出、年末滚存结余等。</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》、《中华人民共和国预算法》、《中华人民共和国预算法实施条例》及相关规定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部门医疗保险基金预算、决算批复后20个工作日内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p>
        </w:tc>
        <w:tc>
          <w:tcPr>
            <w:tcW w:w="540" w:type="dxa"/>
            <w:vAlign w:val="center"/>
          </w:tcPr>
          <w:p>
            <w:r>
              <w:rPr>
                <w:rFonts w:hint="eastAsia" w:ascii="仿宋_GB2312" w:hAnsi="微软雅黑" w:eastAsia="仿宋_GB2312"/>
                <w:b/>
                <w:bCs/>
                <w:color w:val="333333"/>
                <w:kern w:val="0"/>
              </w:rPr>
              <w:t>√</w:t>
            </w:r>
          </w:p>
        </w:tc>
        <w:tc>
          <w:tcPr>
            <w:tcW w:w="709" w:type="dxa"/>
            <w:vAlign w:val="center"/>
          </w:tcP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11</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待遇保障</w:t>
            </w:r>
          </w:p>
          <w:p>
            <w:pPr>
              <w:jc w:val="left"/>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医疗保险、生育保险、医疗救助、大病保险等待遇标准</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医疗、生育、救助、大病保险等待遇标准。</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12</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医疗服务价格</w:t>
            </w:r>
          </w:p>
          <w:p>
            <w:pPr>
              <w:jc w:val="left"/>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医疗服务价格及病种收付费标准</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本辖区内医疗服务价格及收付费标准。</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制定或获取文件之日起20个工作日内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13</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稽查稽核</w:t>
            </w:r>
          </w:p>
          <w:p>
            <w:pPr>
              <w:jc w:val="left"/>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打击欺诈骗保相关信息。</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发布打击欺诈骗保典型案例、工作成效等信息。</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制定或获取文件之日起20个工作日内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14</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医保投诉举报电话</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投诉举报电话以及网上投诉渠道。</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制定或获取文件之日起20个工作日内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15</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医保业务办理</w:t>
            </w:r>
          </w:p>
          <w:p>
            <w:pPr>
              <w:jc w:val="left"/>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办理基本医疗保险、生育保险登记业务</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登记申请材料清单及样式、办理流程、办理部门、办理时限，办理时间、地点，咨询电话。</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制定或获取文件之日起20个工作日内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16</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办理基本医疗保险、生育保险变更、注销等业务</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申请办理材料清单及样式、办理流程、办理部门、办理时限，办理时间、地点，咨询电话。</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制定或获取文件之日起20个工作日内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17</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办理基本医疗保险、生育保险转移手续</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申请办理材料清单及样式、办理流程、办理部门、办理时限，办理时间、地点，咨询电话。</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18</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办理职工基本医疗保险退休手续</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申请办理材料清单及样式、办理流程、办理部门、办理时限，办理时间、地点，咨询电话。</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19</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办理基本医疗保险参保人员异地就医备案业务</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申请办理材料清单及样式、办理流程、办理部门、办理时限，办理时间、地点，咨询电话。</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20</w:t>
            </w:r>
          </w:p>
        </w:tc>
        <w:tc>
          <w:tcPr>
            <w:tcW w:w="720" w:type="dxa"/>
            <w:vMerge w:val="continue"/>
            <w:vAlign w:val="center"/>
          </w:tcPr>
          <w:p>
            <w:pPr>
              <w:jc w:val="center"/>
              <w:rPr>
                <w:rFonts w:ascii="仿宋_GB2312" w:hAnsi="宋体" w:eastAsia="仿宋_GB2312"/>
                <w:sz w:val="18"/>
                <w:szCs w:val="18"/>
              </w:rPr>
            </w:pP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办理职工基本医疗保险个人账户余额提取手续</w:t>
            </w:r>
          </w:p>
        </w:tc>
        <w:tc>
          <w:tcPr>
            <w:tcW w:w="2016" w:type="dxa"/>
            <w:vAlign w:val="center"/>
          </w:tcPr>
          <w:p>
            <w:pPr>
              <w:spacing w:after="240"/>
              <w:rPr>
                <w:rFonts w:ascii="仿宋_GB2312" w:hAnsi="宋体" w:eastAsia="仿宋_GB2312"/>
                <w:sz w:val="18"/>
                <w:szCs w:val="18"/>
              </w:rPr>
            </w:pPr>
            <w:r>
              <w:rPr>
                <w:rFonts w:hint="eastAsia" w:ascii="仿宋_GB2312" w:hAnsi="宋体" w:eastAsia="仿宋_GB2312"/>
                <w:sz w:val="18"/>
                <w:szCs w:val="18"/>
              </w:rPr>
              <w:t>申请办理材料清单及样式、办理流程、办理部门、办理时限，办理时间、地点，咨询电话。</w:t>
            </w:r>
          </w:p>
        </w:tc>
        <w:tc>
          <w:tcPr>
            <w:tcW w:w="1727"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设区市级医保部门</w:t>
            </w:r>
          </w:p>
        </w:tc>
        <w:tc>
          <w:tcPr>
            <w:tcW w:w="1845"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中华人民共和国社会保险法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》及相关规定</w:t>
            </w:r>
          </w:p>
        </w:tc>
        <w:tc>
          <w:tcPr>
            <w:tcW w:w="189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制定或获取信息之日起20个工作日内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■部门网站</w:t>
            </w:r>
          </w:p>
          <w:p>
            <w:pPr>
              <w:rPr>
                <w:rFonts w:ascii="仿宋_GB2312" w:hAnsi="宋体" w:eastAsia="仿宋_GB2312"/>
                <w:sz w:val="18"/>
                <w:szCs w:val="18"/>
              </w:rPr>
            </w:pPr>
            <w:r>
              <w:rPr>
                <w:rFonts w:hint="eastAsia" w:ascii="仿宋_GB2312" w:hAnsi="宋体" w:eastAsia="仿宋_GB2312"/>
                <w:sz w:val="18"/>
                <w:szCs w:val="18"/>
              </w:rPr>
              <w:t>■政务服务中心（根据各地市实际情况公开）</w:t>
            </w:r>
          </w:p>
          <w:p>
            <w:pPr>
              <w:rPr>
                <w:rFonts w:ascii="仿宋_GB2312" w:hAnsi="宋体" w:eastAsia="仿宋_GB2312"/>
                <w:sz w:val="18"/>
                <w:szCs w:val="18"/>
              </w:rPr>
            </w:pPr>
            <w:r>
              <w:rPr>
                <w:rFonts w:hint="eastAsia" w:ascii="仿宋_GB2312" w:hAnsi="宋体" w:eastAsia="仿宋_GB2312"/>
                <w:sz w:val="18"/>
                <w:szCs w:val="18"/>
              </w:rPr>
              <w:t>■两微一端</w:t>
            </w:r>
          </w:p>
        </w:tc>
        <w:tc>
          <w:tcPr>
            <w:tcW w:w="540" w:type="dxa"/>
            <w:vAlign w:val="center"/>
          </w:tcPr>
          <w:p>
            <w:r>
              <w:rPr>
                <w:rFonts w:hint="eastAsia" w:ascii="仿宋_GB2312" w:hAnsi="微软雅黑" w:eastAsia="仿宋_GB2312"/>
                <w:b/>
                <w:bCs/>
                <w:color w:val="333333"/>
                <w:kern w:val="0"/>
              </w:rPr>
              <w:t>√</w:t>
            </w:r>
          </w:p>
        </w:tc>
        <w:tc>
          <w:tcPr>
            <w:tcW w:w="709" w:type="dxa"/>
            <w:vAlign w:val="center"/>
          </w:tcPr>
          <w:p>
            <w:r>
              <w:rPr>
                <w:rFonts w:hint="eastAsia"/>
              </w:rPr>
              <w:t>　</w:t>
            </w:r>
          </w:p>
        </w:tc>
        <w:tc>
          <w:tcPr>
            <w:tcW w:w="597" w:type="dxa"/>
            <w:vAlign w:val="center"/>
          </w:tcPr>
          <w:p>
            <w:r>
              <w:rPr>
                <w:rFonts w:hint="eastAsia" w:ascii="仿宋_GB2312" w:hAnsi="微软雅黑" w:eastAsia="仿宋_GB2312"/>
                <w:b/>
                <w:bCs/>
                <w:color w:val="333333"/>
                <w:kern w:val="0"/>
              </w:rPr>
              <w:t>√</w:t>
            </w:r>
          </w:p>
        </w:tc>
        <w:tc>
          <w:tcPr>
            <w:tcW w:w="674"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bl>
    <w:p>
      <w:pPr>
        <w:rPr>
          <w:rFonts w:ascii="仿宋" w:hAnsi="仿宋"/>
        </w:rPr>
      </w:pPr>
      <w:bookmarkStart w:id="1" w:name="ffj"/>
      <w:bookmarkEnd w:id="1"/>
      <w:bookmarkStart w:id="2" w:name="fqfrq"/>
      <w:bookmarkEnd w:id="2"/>
      <w:bookmarkStart w:id="3" w:name="fyz"/>
      <w:bookmarkEnd w:id="3"/>
      <w:bookmarkStart w:id="4" w:name="ffz"/>
      <w:bookmarkEnd w:id="4"/>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evenAndOddHeaders w:val="1"/>
  <w:drawingGridHorizontalSpacing w:val="158"/>
  <w:drawingGridVerticalSpacing w:val="6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A8598A"/>
    <w:rsid w:val="00012799"/>
    <w:rsid w:val="0002391C"/>
    <w:rsid w:val="00023BFD"/>
    <w:rsid w:val="00046F71"/>
    <w:rsid w:val="00072E52"/>
    <w:rsid w:val="0009111A"/>
    <w:rsid w:val="000B24AA"/>
    <w:rsid w:val="000E6968"/>
    <w:rsid w:val="000F52CC"/>
    <w:rsid w:val="00110601"/>
    <w:rsid w:val="00116C7A"/>
    <w:rsid w:val="0013683F"/>
    <w:rsid w:val="001538F6"/>
    <w:rsid w:val="001745DC"/>
    <w:rsid w:val="001B667D"/>
    <w:rsid w:val="001C48EB"/>
    <w:rsid w:val="001D3BA4"/>
    <w:rsid w:val="002155CE"/>
    <w:rsid w:val="002369AA"/>
    <w:rsid w:val="00241DA6"/>
    <w:rsid w:val="00245BD9"/>
    <w:rsid w:val="00247882"/>
    <w:rsid w:val="00284F29"/>
    <w:rsid w:val="002D060D"/>
    <w:rsid w:val="0030502E"/>
    <w:rsid w:val="00317448"/>
    <w:rsid w:val="00327C6F"/>
    <w:rsid w:val="003509CA"/>
    <w:rsid w:val="003549E6"/>
    <w:rsid w:val="00354EA9"/>
    <w:rsid w:val="0039601B"/>
    <w:rsid w:val="00396E4C"/>
    <w:rsid w:val="003B4701"/>
    <w:rsid w:val="003B7472"/>
    <w:rsid w:val="003E0DE9"/>
    <w:rsid w:val="003F0FAF"/>
    <w:rsid w:val="003F1241"/>
    <w:rsid w:val="00410875"/>
    <w:rsid w:val="00432EF6"/>
    <w:rsid w:val="00432FC7"/>
    <w:rsid w:val="004357B6"/>
    <w:rsid w:val="00451E79"/>
    <w:rsid w:val="00456891"/>
    <w:rsid w:val="00461224"/>
    <w:rsid w:val="0046453C"/>
    <w:rsid w:val="00475948"/>
    <w:rsid w:val="00475982"/>
    <w:rsid w:val="0048765D"/>
    <w:rsid w:val="004B2D82"/>
    <w:rsid w:val="004B2FE4"/>
    <w:rsid w:val="004D3B32"/>
    <w:rsid w:val="005005DA"/>
    <w:rsid w:val="00511D27"/>
    <w:rsid w:val="005535EC"/>
    <w:rsid w:val="00573F28"/>
    <w:rsid w:val="005911D6"/>
    <w:rsid w:val="005B0F3C"/>
    <w:rsid w:val="005B5624"/>
    <w:rsid w:val="005E36EF"/>
    <w:rsid w:val="00602B35"/>
    <w:rsid w:val="00620615"/>
    <w:rsid w:val="00620980"/>
    <w:rsid w:val="006340C4"/>
    <w:rsid w:val="0066310A"/>
    <w:rsid w:val="00691FA3"/>
    <w:rsid w:val="006A3DF8"/>
    <w:rsid w:val="006C6F46"/>
    <w:rsid w:val="006D15ED"/>
    <w:rsid w:val="006D6A85"/>
    <w:rsid w:val="006D7C90"/>
    <w:rsid w:val="006E2CC4"/>
    <w:rsid w:val="00710C17"/>
    <w:rsid w:val="007877FE"/>
    <w:rsid w:val="007946B6"/>
    <w:rsid w:val="0079728D"/>
    <w:rsid w:val="007A52C1"/>
    <w:rsid w:val="007C0463"/>
    <w:rsid w:val="007C0B41"/>
    <w:rsid w:val="007C193A"/>
    <w:rsid w:val="00816AD3"/>
    <w:rsid w:val="00886DC7"/>
    <w:rsid w:val="008A725F"/>
    <w:rsid w:val="008F70CB"/>
    <w:rsid w:val="00902D4E"/>
    <w:rsid w:val="00913458"/>
    <w:rsid w:val="009249A1"/>
    <w:rsid w:val="00925AB4"/>
    <w:rsid w:val="009512DA"/>
    <w:rsid w:val="00957AF3"/>
    <w:rsid w:val="00971A7F"/>
    <w:rsid w:val="00975105"/>
    <w:rsid w:val="009B5211"/>
    <w:rsid w:val="009D02ED"/>
    <w:rsid w:val="00A13CD7"/>
    <w:rsid w:val="00A2046A"/>
    <w:rsid w:val="00A22CBA"/>
    <w:rsid w:val="00A25249"/>
    <w:rsid w:val="00A26E0B"/>
    <w:rsid w:val="00A31AC8"/>
    <w:rsid w:val="00A44763"/>
    <w:rsid w:val="00A75DE6"/>
    <w:rsid w:val="00A8598A"/>
    <w:rsid w:val="00A9035B"/>
    <w:rsid w:val="00AB00BB"/>
    <w:rsid w:val="00AB5547"/>
    <w:rsid w:val="00B240D8"/>
    <w:rsid w:val="00B47EE3"/>
    <w:rsid w:val="00B64C22"/>
    <w:rsid w:val="00B77B88"/>
    <w:rsid w:val="00BB5CDE"/>
    <w:rsid w:val="00BC2234"/>
    <w:rsid w:val="00BC54D6"/>
    <w:rsid w:val="00BE0177"/>
    <w:rsid w:val="00BE2B3D"/>
    <w:rsid w:val="00BE4112"/>
    <w:rsid w:val="00C1141A"/>
    <w:rsid w:val="00C123B6"/>
    <w:rsid w:val="00C341C0"/>
    <w:rsid w:val="00C37F2A"/>
    <w:rsid w:val="00C52395"/>
    <w:rsid w:val="00C60497"/>
    <w:rsid w:val="00C64563"/>
    <w:rsid w:val="00C67A25"/>
    <w:rsid w:val="00C85219"/>
    <w:rsid w:val="00C909AD"/>
    <w:rsid w:val="00C9784B"/>
    <w:rsid w:val="00CA3D55"/>
    <w:rsid w:val="00CB2A9F"/>
    <w:rsid w:val="00CB430B"/>
    <w:rsid w:val="00DB5F57"/>
    <w:rsid w:val="00DB629C"/>
    <w:rsid w:val="00DC138A"/>
    <w:rsid w:val="00DE3ED6"/>
    <w:rsid w:val="00DF2BEA"/>
    <w:rsid w:val="00E66C48"/>
    <w:rsid w:val="00E760AF"/>
    <w:rsid w:val="00E7665C"/>
    <w:rsid w:val="00E9760A"/>
    <w:rsid w:val="00EC1DAE"/>
    <w:rsid w:val="00ED3A5A"/>
    <w:rsid w:val="00EE4DE5"/>
    <w:rsid w:val="00F26F62"/>
    <w:rsid w:val="00F84732"/>
    <w:rsid w:val="00F84C23"/>
    <w:rsid w:val="00F954E9"/>
    <w:rsid w:val="00FB5E85"/>
    <w:rsid w:val="00FC58D3"/>
    <w:rsid w:val="01A22F4D"/>
    <w:rsid w:val="0F45421C"/>
    <w:rsid w:val="14754E1E"/>
    <w:rsid w:val="1A1C46EA"/>
    <w:rsid w:val="21B6105F"/>
    <w:rsid w:val="64350375"/>
    <w:rsid w:val="7A2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color w:val="auto"/>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color w:val="auto"/>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标题 1 Char"/>
    <w:basedOn w:val="9"/>
    <w:link w:val="2"/>
    <w:qFormat/>
    <w:uiPriority w:val="9"/>
    <w:rPr>
      <w:rFonts w:ascii="宋体" w:hAnsi="宋体" w:cs="宋体"/>
      <w:b/>
      <w:bCs/>
      <w:kern w:val="36"/>
      <w:sz w:val="48"/>
      <w:szCs w:val="48"/>
    </w:rPr>
  </w:style>
  <w:style w:type="character" w:customStyle="1" w:styleId="12">
    <w:name w:val="批注框文本 Char"/>
    <w:basedOn w:val="9"/>
    <w:link w:val="3"/>
    <w:qFormat/>
    <w:uiPriority w:val="0"/>
    <w:rPr>
      <w:rFonts w:eastAsia="仿宋"/>
      <w:color w:val="000000"/>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8</Pages>
  <Words>574</Words>
  <Characters>3276</Characters>
  <Lines>27</Lines>
  <Paragraphs>7</Paragraphs>
  <TotalTime>49</TotalTime>
  <ScaleCrop>false</ScaleCrop>
  <LinksUpToDate>false</LinksUpToDate>
  <CharactersWithSpaces>3843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2020-10-27T07:53:00Z</dcterms:created>
  <dc:creator>Administrator</dc:creator>
  <cp:lastModifiedBy>纯粹几何</cp:lastModifiedBy>
  <dcterms:modified xsi:type="dcterms:W3CDTF">2023-12-06T02:00:55Z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0060461174FF4D5A92887B20EBCBA139_13</vt:lpwstr>
  </property>
</Properties>
</file>