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3"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before="41" w:line="560" w:lineRule="exact"/>
        <w:ind w:right="-64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A1A1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A1A1A"/>
          <w:sz w:val="44"/>
          <w:szCs w:val="44"/>
        </w:rPr>
        <w:t>自治区医保局</w:t>
      </w:r>
      <w:r>
        <w:rPr>
          <w:rFonts w:hint="eastAsia" w:ascii="方正小标宋简体" w:hAnsi="方正小标宋简体" w:eastAsia="方正小标宋简体" w:cs="方正小标宋简体"/>
          <w:color w:val="1A1A1A"/>
          <w:sz w:val="44"/>
          <w:szCs w:val="44"/>
          <w:lang w:val="en-US" w:eastAsia="zh-CN"/>
        </w:rPr>
        <w:t>法律顾问</w:t>
      </w:r>
      <w:r>
        <w:rPr>
          <w:rFonts w:hint="eastAsia" w:ascii="方正小标宋简体" w:hAnsi="方正小标宋简体" w:eastAsia="方正小标宋简体" w:cs="方正小标宋简体"/>
          <w:color w:val="1A1A1A"/>
          <w:sz w:val="44"/>
          <w:szCs w:val="44"/>
        </w:rPr>
        <w:t>服务采购需求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before="5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服务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对象</w:t>
      </w:r>
      <w:r>
        <w:rPr>
          <w:rFonts w:hint="eastAsia" w:ascii="黑体" w:hAnsi="黑体" w:eastAsia="黑体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广西壮族自治区医疗保障局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、广西壮族自治区医疗保障事业管理中心、广西壮族自治区医疗保障基金监管事务中心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采购预算（预算控制价）：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_GB2312"/>
          <w:bCs/>
          <w:sz w:val="32"/>
          <w:szCs w:val="32"/>
        </w:rPr>
        <w:t>、服务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期限</w:t>
      </w:r>
      <w:r>
        <w:rPr>
          <w:rFonts w:hint="eastAsia" w:ascii="黑体" w:hAnsi="黑体" w:eastAsia="黑体" w:cs="仿宋_GB2312"/>
          <w:bCs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2024年1月1日—2025年12月31日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bCs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）具有独立承担民事责任的能力，经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批准成立的律师事务所，成立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年以上（提供执业许可）；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近三年内在执业活动中未受行业协会处罚；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具有较强的综合法律服务能力，有足够的服务时间与人员配备。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向律师事务所购买法律服务，包括以下内容：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(一)为重大行政决策、重要行政行为提供法律意见；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(二)为法规规章草案、党内法规草案和规范性文件送审稿提供法律意见（参加服务对象规范性文件、政策制定评审会等会议不少于10次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(三)参与处理行政复议、诉讼、仲裁等法律事务；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(四)审查以本局及直属各单位为当事人的合同；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(五)协助本局开展法制宣传教育工作（不少于3次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(六)协助编写广西医保领域行政执法、行政诉讼典型案例分析汇编；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(七)需要法律顾问参与的其他事务。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20D6A"/>
    <w:multiLevelType w:val="singleLevel"/>
    <w:tmpl w:val="9F820D6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CEF141B"/>
    <w:rsid w:val="3CE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2023-12-11T01:26:00Z</dcterms:created>
  <dc:creator>纯粹几何</dc:creator>
  <cp:lastModifiedBy>纯粹几何</cp:lastModifiedBy>
  <dcterms:modified xsi:type="dcterms:W3CDTF">2023-12-11T01:27:02Z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1E4064350CA64B90AA336E091C35374B_11</vt:lpwstr>
  </property>
</Properties>
</file>