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exact" w:line="600"/>
        <w:rPr>
          <w:rFonts w:ascii="方正小标宋简体" w:hAnsi="黑体" w:eastAsia="方正小标宋简体"/>
          <w:sz w:val="44"/>
          <w:szCs w:val="44"/>
        </w:rPr>
      </w:pPr>
      <w:r>
        <w:rPr>
          <w:rFonts w:ascii="方正小标宋简体" w:hAnsi="黑体" w:eastAsia="方正小标宋简体" w:hint="eastAsia"/>
          <w:sz w:val="44"/>
          <w:szCs w:val="44"/>
        </w:rPr>
        <w:t xml:space="preserve">广西壮族自治区医疗保障事业管理中心</w:t>
      </w:r>
      <w:r/>
    </w:p>
    <w:p>
      <w:pPr>
        <w:jc w:val="center"/>
        <w:spacing w:lineRule="exact" w:line="600"/>
        <w:rPr>
          <w:rFonts w:ascii="方正小标宋简体" w:hAnsi="黑体" w:eastAsia="方正小标宋简体"/>
          <w:sz w:val="44"/>
          <w:szCs w:val="44"/>
        </w:rPr>
      </w:pPr>
      <w:r>
        <w:rPr>
          <w:rFonts w:ascii="方正小标宋简体" w:hAnsi="黑体" w:eastAsia="方正小标宋简体" w:hint="eastAsia"/>
          <w:sz w:val="44"/>
          <w:szCs w:val="44"/>
        </w:rPr>
        <w:t xml:space="preserve">202</w:t>
      </w:r>
      <w:r>
        <w:rPr>
          <w:rFonts w:ascii="方正小标宋简体" w:hAnsi="黑体" w:eastAsia="方正小标宋简体" w:hint="eastAsia"/>
          <w:sz w:val="44"/>
          <w:szCs w:val="44"/>
        </w:rPr>
        <w:t xml:space="preserve">1</w:t>
      </w:r>
      <w:r>
        <w:rPr>
          <w:rFonts w:ascii="方正小标宋简体" w:hAnsi="黑体" w:eastAsia="方正小标宋简体" w:hint="eastAsia"/>
          <w:sz w:val="44"/>
          <w:szCs w:val="44"/>
        </w:rPr>
        <w:t xml:space="preserve">年“三公”经费预算公开</w:t>
      </w:r>
      <w:r/>
    </w:p>
    <w:p>
      <w:pPr>
        <w:spacing w:lineRule="exact" w:line="600"/>
        <w:rPr>
          <w:rFonts w:ascii="黑体" w:hAnsi="黑体" w:eastAsia="黑体"/>
          <w:sz w:val="32"/>
          <w:szCs w:val="32"/>
        </w:rPr>
      </w:pPr>
      <w:r>
        <w:rPr>
          <w:rFonts w:ascii="黑体" w:hAnsi="黑体" w:eastAsia="黑体"/>
          <w:sz w:val="32"/>
          <w:szCs w:val="32"/>
        </w:rPr>
      </w:r>
      <w:r/>
    </w:p>
    <w:tbl>
      <w:tblPr>
        <w:tblW w:w="5000" w:type="pct"/>
        <w:tblLook w:val="04A0" w:firstRow="1" w:lastRow="0" w:firstColumn="1" w:lastColumn="0" w:noHBand="0" w:noVBand="1"/>
      </w:tblPr>
      <w:tblGrid>
        <w:gridCol w:w="3010"/>
        <w:gridCol w:w="2383"/>
        <w:gridCol w:w="2913"/>
      </w:tblGrid>
      <w:tr>
        <w:trPr>
          <w:trHeight w:val="525"/>
        </w:trPr>
        <w:tc>
          <w:tcPr>
            <w:gridSpan w:val="3"/>
            <w:shd w:val="clear" w:color="auto" w:fill="auto"/>
            <w:tcBorders>
              <w:left w:val="none" w:color="000000" w:sz="4" w:space="0"/>
              <w:top w:val="none" w:color="000000" w:sz="4" w:space="0"/>
              <w:right w:val="none" w:color="000000" w:sz="4" w:space="0"/>
              <w:bottom w:val="none" w:color="000000" w:sz="4" w:space="0"/>
            </w:tcBorders>
            <w:tcW w:w="5000" w:type="pct"/>
            <w:vAlign w:val="center"/>
            <w:textDirection w:val="lrTb"/>
            <w:noWrap/>
          </w:tcPr>
          <w:p>
            <w:pPr>
              <w:jc w:val="center"/>
              <w:widowControl/>
              <w:rPr>
                <w:rFonts w:ascii="宋体" w:hAnsi="宋体" w:cs="宋体" w:eastAsia="宋体"/>
                <w:b/>
                <w:bCs/>
                <w:sz w:val="32"/>
                <w:szCs w:val="32"/>
              </w:rPr>
            </w:pPr>
            <w:r>
              <w:rPr>
                <w:rFonts w:ascii="宋体" w:hAnsi="宋体" w:cs="宋体" w:eastAsia="宋体" w:hint="eastAsia"/>
                <w:b/>
                <w:bCs/>
                <w:sz w:val="32"/>
                <w:szCs w:val="32"/>
              </w:rPr>
              <w:t xml:space="preserve">一般公共预算“三公”经费支出表</w:t>
            </w:r>
            <w:r/>
          </w:p>
        </w:tc>
      </w:tr>
      <w:tr>
        <w:trPr>
          <w:trHeight w:val="480"/>
        </w:trPr>
        <w:tc>
          <w:tcPr>
            <w:shd w:val="clear" w:color="auto" w:fill="auto"/>
            <w:tcBorders>
              <w:left w:val="none" w:color="000000" w:sz="4" w:space="0"/>
              <w:top w:val="none" w:color="000000" w:sz="4" w:space="0"/>
              <w:right w:val="none" w:color="000000" w:sz="4" w:space="0"/>
              <w:bottom w:val="none" w:color="000000" w:sz="4" w:space="0"/>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1434" w:type="pct"/>
            <w:vAlign w:val="center"/>
            <w:textDirection w:val="lrTb"/>
            <w:noWrap/>
          </w:tcPr>
          <w:p>
            <w:pPr>
              <w:jc w:val="left"/>
              <w:widowControl/>
              <w:rPr>
                <w:rFonts w:ascii="宋体" w:hAnsi="宋体" w:cs="宋体" w:eastAsia="宋体"/>
                <w:sz w:val="20"/>
                <w:szCs w:val="20"/>
              </w:rPr>
            </w:pPr>
            <w:r>
              <w:rPr>
                <w:rFonts w:ascii="宋体" w:hAnsi="宋体" w:cs="宋体" w:eastAsia="宋体"/>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     单位：万元</w:t>
            </w:r>
            <w:r/>
          </w:p>
        </w:tc>
      </w:tr>
      <w:tr>
        <w:trPr>
          <w:trHeight w:val="555"/>
        </w:trPr>
        <w:tc>
          <w:tcPr>
            <w:shd w:val="clear" w:color="auto" w:fill="auto"/>
            <w:tcBorders>
              <w:left w:val="single" w:sz="4" w:space="0" w:color="auto"/>
              <w:top w:val="single" w:sz="4" w:space="0" w:color="auto"/>
              <w:right w:val="single" w:sz="4" w:space="0" w:color="auto"/>
              <w:bottom w:val="single" w:sz="4" w:space="0" w:color="auto"/>
            </w:tcBorders>
            <w:tcW w:w="1812" w:type="pct"/>
            <w:vAlign w:val="center"/>
            <w:textDirection w:val="lrTb"/>
            <w:noWrap/>
          </w:tcPr>
          <w:p>
            <w:pPr>
              <w:jc w:val="center"/>
              <w:widowControl/>
              <w:rPr>
                <w:rFonts w:ascii="宋体" w:hAnsi="宋体" w:cs="宋体" w:eastAsia="宋体"/>
                <w:sz w:val="20"/>
                <w:szCs w:val="20"/>
              </w:rPr>
            </w:pPr>
            <w:r>
              <w:rPr>
                <w:rFonts w:ascii="宋体" w:hAnsi="宋体" w:cs="宋体" w:eastAsia="宋体" w:hint="eastAsia"/>
                <w:sz w:val="20"/>
                <w:szCs w:val="20"/>
              </w:rPr>
              <w:t xml:space="preserve">项目</w:t>
            </w:r>
            <w:r/>
          </w:p>
        </w:tc>
        <w:tc>
          <w:tcPr>
            <w:shd w:val="clear" w:color="auto" w:fill="auto"/>
            <w:tcBorders>
              <w:left w:val="none" w:color="000000" w:sz="4" w:space="0"/>
              <w:top w:val="single" w:sz="4" w:space="0" w:color="auto"/>
              <w:right w:val="single" w:sz="4" w:space="0" w:color="auto"/>
              <w:bottom w:val="single" w:sz="4" w:space="0" w:color="auto"/>
            </w:tcBorders>
            <w:tcW w:w="1434" w:type="pct"/>
            <w:vAlign w:val="center"/>
            <w:textDirection w:val="lrTb"/>
            <w:noWrap/>
          </w:tcPr>
          <w:p>
            <w:pPr>
              <w:jc w:val="center"/>
              <w:widowControl/>
              <w:rPr>
                <w:rFonts w:ascii="宋体" w:hAnsi="宋体" w:cs="宋体" w:eastAsia="宋体"/>
                <w:sz w:val="20"/>
                <w:szCs w:val="20"/>
              </w:rPr>
            </w:pPr>
            <w:r>
              <w:rPr>
                <w:rFonts w:ascii="宋体" w:hAnsi="宋体" w:cs="宋体" w:eastAsia="宋体" w:hint="eastAsia"/>
                <w:sz w:val="20"/>
                <w:szCs w:val="20"/>
              </w:rPr>
              <w:t xml:space="preserve">202</w:t>
            </w:r>
            <w:r>
              <w:rPr>
                <w:rFonts w:ascii="宋体" w:hAnsi="宋体" w:cs="宋体" w:eastAsia="宋体" w:hint="eastAsia"/>
                <w:sz w:val="20"/>
                <w:szCs w:val="20"/>
              </w:rPr>
              <w:t xml:space="preserve">1</w:t>
            </w:r>
            <w:r>
              <w:rPr>
                <w:rFonts w:ascii="宋体" w:hAnsi="宋体" w:cs="宋体" w:eastAsia="宋体" w:hint="eastAsia"/>
                <w:sz w:val="20"/>
                <w:szCs w:val="20"/>
              </w:rPr>
              <w:t xml:space="preserve">年预算数（全口径）</w:t>
            </w:r>
            <w:r/>
          </w:p>
        </w:tc>
        <w:tc>
          <w:tcPr>
            <w:shd w:val="clear" w:color="auto" w:fill="auto"/>
            <w:tcBorders>
              <w:left w:val="none" w:color="000000" w:sz="4" w:space="0"/>
              <w:top w:val="single" w:sz="4" w:space="0" w:color="auto"/>
              <w:right w:val="single" w:sz="4" w:space="0" w:color="auto"/>
              <w:bottom w:val="single" w:sz="4" w:space="0" w:color="auto"/>
            </w:tcBorders>
            <w:tcW w:w="1754" w:type="pct"/>
            <w:vAlign w:val="center"/>
            <w:textDirection w:val="lrTb"/>
            <w:noWrap/>
          </w:tcPr>
          <w:p>
            <w:pPr>
              <w:jc w:val="center"/>
              <w:widowControl/>
              <w:rPr>
                <w:rFonts w:ascii="宋体" w:hAnsi="宋体" w:cs="宋体" w:eastAsia="宋体"/>
                <w:sz w:val="20"/>
                <w:szCs w:val="20"/>
              </w:rPr>
            </w:pPr>
            <w:r>
              <w:rPr>
                <w:rFonts w:ascii="宋体" w:hAnsi="宋体" w:cs="宋体" w:eastAsia="宋体" w:hint="eastAsia"/>
                <w:sz w:val="20"/>
                <w:szCs w:val="20"/>
              </w:rPr>
              <w:t xml:space="preserve">其中：一般公共预算安排预算数</w:t>
            </w:r>
            <w:r/>
          </w:p>
        </w:tc>
      </w:tr>
      <w:tr>
        <w:trPr>
          <w:trHeight w:val="499"/>
        </w:trPr>
        <w:tc>
          <w:tcPr>
            <w:shd w:val="clear" w:color="auto" w:fill="auto"/>
            <w:tcBorders>
              <w:left w:val="single" w:sz="4" w:space="0" w:color="auto"/>
              <w:top w:val="none" w:color="000000" w:sz="4" w:space="0"/>
              <w:right w:val="single" w:sz="4" w:space="0" w:color="auto"/>
              <w:bottom w:val="single" w:sz="4" w:space="0" w:color="auto"/>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hint="eastAsia"/>
                <w:sz w:val="20"/>
                <w:szCs w:val="20"/>
              </w:rPr>
              <w:t xml:space="preserve">合计</w:t>
            </w:r>
            <w:r/>
          </w:p>
        </w:tc>
        <w:tc>
          <w:tcPr>
            <w:shd w:val="clear" w:color="auto" w:fill="auto"/>
            <w:tcBorders>
              <w:left w:val="none" w:color="000000" w:sz="4" w:space="0"/>
              <w:top w:val="none" w:color="000000" w:sz="4" w:space="0"/>
              <w:right w:val="single" w:sz="4" w:space="0" w:color="auto"/>
              <w:bottom w:val="single" w:sz="4" w:space="0" w:color="auto"/>
            </w:tcBorders>
            <w:tcW w:w="1434" w:type="pct"/>
            <w:vAlign w:val="center"/>
            <w:textDirection w:val="lrTb"/>
            <w:noWrap/>
          </w:tcPr>
          <w:p>
            <w:pPr>
              <w:jc w:val="right"/>
              <w:widowControl/>
              <w:rPr>
                <w:rFonts w:ascii="宋体" w:hAnsi="宋体" w:cs="宋体" w:eastAsia="宋体"/>
                <w:sz w:val="20"/>
                <w:szCs w:val="20"/>
              </w:rPr>
            </w:pPr>
            <w:r>
              <w:rPr>
                <w:rFonts w:ascii="宋体" w:hAnsi="宋体" w:cs="宋体" w:eastAsia="宋体"/>
                <w:sz w:val="20"/>
                <w:szCs w:val="20"/>
              </w:rPr>
              <w:t xml:space="preserve">30.07</w:t>
            </w:r>
            <w:r/>
          </w:p>
        </w:tc>
        <w:tc>
          <w:tcPr>
            <w:shd w:val="clear" w:color="auto" w:fill="auto"/>
            <w:tcBorders>
              <w:left w:val="none" w:color="000000" w:sz="4" w:space="0"/>
              <w:top w:val="none" w:color="000000" w:sz="4" w:space="0"/>
              <w:right w:val="single" w:sz="4" w:space="0" w:color="auto"/>
              <w:bottom w:val="single" w:sz="4" w:space="0" w:color="auto"/>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sz w:val="20"/>
                <w:szCs w:val="20"/>
              </w:rPr>
              <w:t xml:space="preserve">30.07</w:t>
            </w:r>
            <w:r/>
          </w:p>
        </w:tc>
      </w:tr>
      <w:tr>
        <w:trPr>
          <w:trHeight w:val="499"/>
        </w:trPr>
        <w:tc>
          <w:tcPr>
            <w:shd w:val="clear" w:color="auto" w:fill="auto"/>
            <w:tcBorders>
              <w:left w:val="single" w:sz="4" w:space="0" w:color="auto"/>
              <w:top w:val="none" w:color="000000" w:sz="4" w:space="0"/>
              <w:right w:val="single" w:sz="4" w:space="0" w:color="auto"/>
              <w:bottom w:val="single" w:sz="4" w:space="0" w:color="auto"/>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hint="eastAsia"/>
                <w:sz w:val="20"/>
                <w:szCs w:val="20"/>
              </w:rPr>
              <w:t xml:space="preserve">1</w:t>
            </w:r>
            <w:r>
              <w:rPr>
                <w:rFonts w:ascii="宋体" w:hAnsi="宋体" w:cs="宋体" w:eastAsia="宋体" w:hint="eastAsia"/>
                <w:sz w:val="20"/>
                <w:szCs w:val="20"/>
              </w:rPr>
              <w:t xml:space="preserve">.公务接待费</w:t>
            </w:r>
            <w:r/>
          </w:p>
        </w:tc>
        <w:tc>
          <w:tcPr>
            <w:shd w:val="clear" w:color="auto" w:fill="auto"/>
            <w:tcBorders>
              <w:left w:val="none" w:color="000000" w:sz="4" w:space="0"/>
              <w:top w:val="none" w:color="000000" w:sz="4" w:space="0"/>
              <w:right w:val="single" w:sz="4" w:space="0" w:color="auto"/>
              <w:bottom w:val="single" w:sz="4" w:space="0" w:color="auto"/>
            </w:tcBorders>
            <w:tcW w:w="143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0.44</w:t>
            </w:r>
            <w:r/>
          </w:p>
        </w:tc>
        <w:tc>
          <w:tcPr>
            <w:shd w:val="clear" w:color="auto" w:fill="auto"/>
            <w:tcBorders>
              <w:left w:val="none" w:color="000000" w:sz="4" w:space="0"/>
              <w:top w:val="none" w:color="000000" w:sz="4" w:space="0"/>
              <w:right w:val="single" w:sz="4" w:space="0" w:color="auto"/>
              <w:bottom w:val="single" w:sz="4" w:space="0" w:color="auto"/>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0.44</w:t>
            </w:r>
            <w:r/>
          </w:p>
        </w:tc>
      </w:tr>
      <w:tr>
        <w:trPr>
          <w:trHeight w:val="499"/>
        </w:trPr>
        <w:tc>
          <w:tcPr>
            <w:shd w:val="clear" w:color="auto" w:fill="auto"/>
            <w:tcBorders>
              <w:left w:val="single" w:sz="4" w:space="0" w:color="auto"/>
              <w:top w:val="none" w:color="000000" w:sz="4" w:space="0"/>
              <w:right w:val="single" w:sz="4" w:space="0" w:color="auto"/>
              <w:bottom w:val="single" w:sz="4" w:space="0" w:color="auto"/>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hint="eastAsia"/>
                <w:sz w:val="20"/>
                <w:szCs w:val="20"/>
              </w:rPr>
              <w:t xml:space="preserve">2</w:t>
            </w:r>
            <w:r>
              <w:rPr>
                <w:rFonts w:ascii="宋体" w:hAnsi="宋体" w:cs="宋体" w:eastAsia="宋体" w:hint="eastAsia"/>
                <w:sz w:val="20"/>
                <w:szCs w:val="20"/>
              </w:rPr>
              <w:t xml:space="preserve">.公务用车购置及运行费</w:t>
            </w:r>
            <w:r/>
          </w:p>
        </w:tc>
        <w:tc>
          <w:tcPr>
            <w:shd w:val="clear" w:color="auto" w:fill="auto"/>
            <w:tcBorders>
              <w:left w:val="none" w:color="000000" w:sz="4" w:space="0"/>
              <w:top w:val="none" w:color="000000" w:sz="4" w:space="0"/>
              <w:right w:val="single" w:sz="4" w:space="0" w:color="auto"/>
              <w:bottom w:val="single" w:sz="4" w:space="0" w:color="auto"/>
            </w:tcBorders>
            <w:tcW w:w="143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29.63</w:t>
            </w:r>
            <w:r/>
          </w:p>
        </w:tc>
        <w:tc>
          <w:tcPr>
            <w:shd w:val="clear" w:color="auto" w:fill="auto"/>
            <w:tcBorders>
              <w:left w:val="none" w:color="000000" w:sz="4" w:space="0"/>
              <w:top w:val="none" w:color="000000" w:sz="4" w:space="0"/>
              <w:right w:val="single" w:sz="4" w:space="0" w:color="auto"/>
              <w:bottom w:val="single" w:sz="4" w:space="0" w:color="auto"/>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29.63</w:t>
            </w:r>
            <w:r/>
          </w:p>
        </w:tc>
      </w:tr>
      <w:tr>
        <w:trPr>
          <w:trHeight w:val="499"/>
        </w:trPr>
        <w:tc>
          <w:tcPr>
            <w:shd w:val="clear" w:color="auto" w:fill="auto"/>
            <w:tcBorders>
              <w:left w:val="single" w:sz="4" w:space="0" w:color="auto"/>
              <w:top w:val="none" w:color="000000" w:sz="4" w:space="0"/>
              <w:right w:val="single" w:sz="4" w:space="0" w:color="auto"/>
              <w:bottom w:val="single" w:sz="4" w:space="0" w:color="auto"/>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hint="eastAsia"/>
                <w:sz w:val="20"/>
                <w:szCs w:val="20"/>
              </w:rPr>
              <w:t xml:space="preserve">其中：（1）公务用车运行维护费</w:t>
            </w:r>
            <w:r/>
          </w:p>
        </w:tc>
        <w:tc>
          <w:tcPr>
            <w:shd w:val="clear" w:color="auto" w:fill="auto"/>
            <w:tcBorders>
              <w:left w:val="none" w:color="000000" w:sz="4" w:space="0"/>
              <w:top w:val="none" w:color="000000" w:sz="4" w:space="0"/>
              <w:right w:val="single" w:sz="4" w:space="0" w:color="auto"/>
              <w:bottom w:val="single" w:sz="4" w:space="0" w:color="auto"/>
            </w:tcBorders>
            <w:tcW w:w="143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3.13</w:t>
            </w:r>
            <w:r/>
          </w:p>
        </w:tc>
        <w:tc>
          <w:tcPr>
            <w:shd w:val="clear" w:color="auto" w:fill="auto"/>
            <w:tcBorders>
              <w:left w:val="none" w:color="000000" w:sz="4" w:space="0"/>
              <w:top w:val="none" w:color="000000" w:sz="4" w:space="0"/>
              <w:right w:val="single" w:sz="4" w:space="0" w:color="auto"/>
              <w:bottom w:val="single" w:sz="4" w:space="0" w:color="auto"/>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3.13</w:t>
            </w:r>
            <w:r/>
          </w:p>
        </w:tc>
      </w:tr>
      <w:tr>
        <w:trPr>
          <w:trHeight w:val="499"/>
        </w:trPr>
        <w:tc>
          <w:tcPr>
            <w:shd w:val="clear" w:color="auto" w:fill="auto"/>
            <w:tcBorders>
              <w:left w:val="single" w:sz="4" w:space="0" w:color="auto"/>
              <w:top w:val="none" w:color="000000" w:sz="4" w:space="0"/>
              <w:right w:val="single" w:sz="4" w:space="0" w:color="auto"/>
              <w:bottom w:val="single" w:sz="4" w:space="0" w:color="auto"/>
            </w:tcBorders>
            <w:tcW w:w="1812" w:type="pct"/>
            <w:vAlign w:val="center"/>
            <w:textDirection w:val="lrTb"/>
            <w:noWrap/>
          </w:tcPr>
          <w:p>
            <w:pPr>
              <w:jc w:val="left"/>
              <w:widowControl/>
              <w:rPr>
                <w:rFonts w:ascii="宋体" w:hAnsi="宋体" w:cs="宋体" w:eastAsia="宋体"/>
                <w:sz w:val="20"/>
                <w:szCs w:val="20"/>
              </w:rPr>
            </w:pPr>
            <w:r>
              <w:rPr>
                <w:rFonts w:ascii="宋体" w:hAnsi="宋体" w:cs="宋体" w:eastAsia="宋体" w:hint="eastAsia"/>
                <w:sz w:val="20"/>
                <w:szCs w:val="20"/>
              </w:rPr>
              <w:t xml:space="preserve">      （2）公务用车购置费</w:t>
            </w:r>
            <w:r/>
          </w:p>
        </w:tc>
        <w:tc>
          <w:tcPr>
            <w:shd w:val="clear" w:color="auto" w:fill="auto"/>
            <w:tcBorders>
              <w:left w:val="none" w:color="000000" w:sz="4" w:space="0"/>
              <w:top w:val="none" w:color="000000" w:sz="4" w:space="0"/>
              <w:right w:val="single" w:sz="4" w:space="0" w:color="auto"/>
              <w:bottom w:val="single" w:sz="4" w:space="0" w:color="auto"/>
            </w:tcBorders>
            <w:tcW w:w="143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26.5</w:t>
            </w:r>
            <w:r/>
          </w:p>
        </w:tc>
        <w:tc>
          <w:tcPr>
            <w:shd w:val="clear" w:color="auto" w:fill="auto"/>
            <w:tcBorders>
              <w:left w:val="none" w:color="000000" w:sz="4" w:space="0"/>
              <w:top w:val="none" w:color="000000" w:sz="4" w:space="0"/>
              <w:right w:val="single" w:sz="4" w:space="0" w:color="auto"/>
              <w:bottom w:val="single" w:sz="4" w:space="0" w:color="auto"/>
            </w:tcBorders>
            <w:tcW w:w="1754" w:type="pct"/>
            <w:vAlign w:val="center"/>
            <w:textDirection w:val="lrTb"/>
            <w:noWrap/>
          </w:tcPr>
          <w:p>
            <w:pPr>
              <w:jc w:val="right"/>
              <w:widowControl/>
              <w:rPr>
                <w:rFonts w:ascii="宋体" w:hAnsi="宋体" w:cs="宋体" w:eastAsia="宋体"/>
                <w:sz w:val="20"/>
                <w:szCs w:val="20"/>
              </w:rPr>
            </w:pPr>
            <w:r>
              <w:rPr>
                <w:rFonts w:ascii="宋体" w:hAnsi="宋体" w:cs="宋体" w:eastAsia="宋体" w:hint="eastAsia"/>
                <w:sz w:val="20"/>
                <w:szCs w:val="20"/>
              </w:rPr>
              <w:t xml:space="preserve">26.5</w:t>
            </w:r>
            <w:r/>
          </w:p>
        </w:tc>
      </w:tr>
    </w:tbl>
    <w:p>
      <w:pPr>
        <w:spacing w:lineRule="exact" w:line="600"/>
        <w:rPr>
          <w:rFonts w:ascii="黑体" w:hAnsi="黑体" w:eastAsia="黑体"/>
          <w:sz w:val="32"/>
          <w:szCs w:val="32"/>
          <w:highlight w:val="cyan"/>
        </w:rPr>
      </w:pPr>
      <w:r>
        <w:rPr>
          <w:rFonts w:ascii="黑体" w:hAnsi="黑体" w:eastAsia="黑体" w:hint="eastAsia"/>
          <w:sz w:val="32"/>
          <w:szCs w:val="32"/>
        </w:rPr>
        <w:t xml:space="preserve">“三公”经费支出情况说明</w:t>
      </w:r>
      <w:r/>
    </w:p>
    <w:p>
      <w:pPr>
        <w:spacing w:lineRule="exact" w:line="600"/>
        <w:rPr>
          <w:rFonts w:ascii="黑体" w:hAnsi="黑体" w:eastAsia="黑体"/>
          <w:sz w:val="32"/>
          <w:szCs w:val="32"/>
        </w:rPr>
      </w:pPr>
      <w:r>
        <w:rPr>
          <w:rFonts w:ascii="黑体" w:hAnsi="黑体" w:eastAsia="黑体" w:hint="eastAsia"/>
          <w:sz w:val="32"/>
          <w:szCs w:val="32"/>
        </w:rPr>
        <w:t xml:space="preserve">一</w:t>
      </w:r>
      <w:r>
        <w:rPr>
          <w:rFonts w:ascii="黑体" w:hAnsi="黑体" w:eastAsia="黑体" w:hint="eastAsia"/>
          <w:sz w:val="32"/>
          <w:szCs w:val="32"/>
        </w:rPr>
        <w:t xml:space="preserve">、</w:t>
      </w:r>
      <w:r>
        <w:rPr>
          <w:rFonts w:ascii="黑体" w:hAnsi="黑体" w:eastAsia="黑体" w:hint="eastAsia"/>
          <w:sz w:val="32"/>
          <w:szCs w:val="32"/>
        </w:rPr>
        <w:t xml:space="preserve">202</w:t>
      </w:r>
      <w:r>
        <w:rPr>
          <w:rFonts w:ascii="黑体" w:hAnsi="黑体" w:eastAsia="黑体" w:hint="eastAsia"/>
          <w:sz w:val="32"/>
          <w:szCs w:val="32"/>
        </w:rPr>
        <w:t xml:space="preserve">1</w:t>
      </w:r>
      <w:r>
        <w:rPr>
          <w:rFonts w:ascii="黑体" w:hAnsi="黑体" w:eastAsia="黑体" w:hint="eastAsia"/>
          <w:sz w:val="32"/>
          <w:szCs w:val="32"/>
        </w:rPr>
        <w:t xml:space="preserve">年部门预算全口径安排的“三公”经费支出情况说明</w:t>
      </w:r>
      <w:r/>
    </w:p>
    <w:p>
      <w:pPr>
        <w:spacing w:lineRule="exact" w:line="600"/>
        <w:rPr>
          <w:rFonts w:ascii="仿宋_GB2312" w:eastAsia="仿宋_GB2312"/>
          <w:sz w:val="32"/>
          <w:szCs w:val="32"/>
        </w:rPr>
      </w:pPr>
      <w:r>
        <w:rPr>
          <w:rFonts w:ascii="仿宋_GB2312" w:eastAsia="仿宋_GB2312" w:hint="eastAsia"/>
          <w:sz w:val="32"/>
          <w:szCs w:val="32"/>
        </w:rPr>
        <w:t xml:space="preserve">    202</w:t>
      </w:r>
      <w:r>
        <w:rPr>
          <w:rFonts w:ascii="仿宋_GB2312" w:eastAsia="仿宋_GB2312" w:hint="eastAsia"/>
          <w:sz w:val="32"/>
          <w:szCs w:val="32"/>
        </w:rPr>
        <w:t xml:space="preserve">1</w:t>
      </w:r>
      <w:r>
        <w:rPr>
          <w:rFonts w:ascii="仿宋_GB2312" w:eastAsia="仿宋_GB2312" w:hint="eastAsia"/>
          <w:sz w:val="32"/>
          <w:szCs w:val="32"/>
        </w:rPr>
        <w:t xml:space="preserve">年部门预算</w:t>
      </w:r>
      <w:r>
        <w:rPr>
          <w:rFonts w:ascii="仿宋_GB2312" w:eastAsia="仿宋_GB2312" w:hint="eastAsia"/>
          <w:sz w:val="32"/>
          <w:szCs w:val="32"/>
        </w:rPr>
        <w:t xml:space="preserve">全口径安排的“三公”经费</w:t>
      </w:r>
      <w:r>
        <w:rPr>
          <w:rFonts w:ascii="仿宋_GB2312" w:eastAsia="仿宋_GB2312" w:hint="eastAsia"/>
          <w:sz w:val="32"/>
          <w:szCs w:val="32"/>
        </w:rPr>
        <w:t xml:space="preserve">支出</w:t>
      </w:r>
      <w:r>
        <w:rPr>
          <w:rFonts w:ascii="仿宋_GB2312" w:eastAsia="仿宋_GB2312" w:hint="eastAsia"/>
          <w:sz w:val="32"/>
          <w:szCs w:val="32"/>
        </w:rPr>
        <w:t xml:space="preserve">30.07</w:t>
      </w:r>
      <w:r>
        <w:rPr>
          <w:rFonts w:ascii="仿宋_GB2312" w:eastAsia="仿宋_GB2312" w:hint="eastAsia"/>
          <w:sz w:val="32"/>
          <w:szCs w:val="32"/>
        </w:rPr>
        <w:t xml:space="preserve">万元，其中：</w:t>
      </w:r>
      <w:r>
        <w:rPr>
          <w:rFonts w:ascii="仿宋_GB2312" w:eastAsia="仿宋_GB2312" w:hint="eastAsia"/>
          <w:sz w:val="32"/>
          <w:szCs w:val="32"/>
        </w:rPr>
        <w:t xml:space="preserve">公务接待费</w:t>
      </w:r>
      <w:r>
        <w:rPr>
          <w:rFonts w:ascii="仿宋_GB2312" w:eastAsia="仿宋_GB2312" w:hint="eastAsia"/>
          <w:sz w:val="32"/>
          <w:szCs w:val="32"/>
        </w:rPr>
        <w:t xml:space="preserve">0.44</w:t>
      </w:r>
      <w:r>
        <w:rPr>
          <w:rFonts w:ascii="仿宋_GB2312" w:eastAsia="仿宋_GB2312" w:hint="eastAsia"/>
          <w:sz w:val="32"/>
          <w:szCs w:val="32"/>
        </w:rPr>
        <w:t xml:space="preserve">万元，</w:t>
      </w:r>
      <w:r>
        <w:rPr>
          <w:rFonts w:ascii="仿宋_GB2312" w:eastAsia="仿宋_GB2312" w:hint="eastAsia"/>
          <w:sz w:val="32"/>
          <w:szCs w:val="32"/>
        </w:rPr>
        <w:t xml:space="preserve">公务用车购置及运行费</w:t>
      </w:r>
      <w:r>
        <w:rPr>
          <w:rFonts w:ascii="仿宋_GB2312" w:eastAsia="仿宋_GB2312" w:hint="eastAsia"/>
          <w:sz w:val="32"/>
          <w:szCs w:val="32"/>
        </w:rPr>
        <w:tab/>
      </w:r>
      <w:r>
        <w:rPr>
          <w:rFonts w:ascii="仿宋_GB2312" w:eastAsia="仿宋_GB2312" w:hint="eastAsia"/>
          <w:sz w:val="32"/>
          <w:szCs w:val="32"/>
        </w:rPr>
        <w:t xml:space="preserve">29.63</w:t>
      </w:r>
      <w:r>
        <w:rPr>
          <w:rFonts w:ascii="仿宋_GB2312" w:eastAsia="仿宋_GB2312" w:hint="eastAsia"/>
          <w:sz w:val="32"/>
          <w:szCs w:val="32"/>
        </w:rPr>
        <w:t xml:space="preserve">万元（包括：</w:t>
      </w:r>
      <w:r>
        <w:rPr>
          <w:rFonts w:ascii="仿宋_GB2312" w:eastAsia="仿宋_GB2312" w:hint="eastAsia"/>
          <w:sz w:val="32"/>
          <w:szCs w:val="32"/>
        </w:rPr>
        <w:t xml:space="preserve">公务用车运行维护费</w:t>
      </w:r>
      <w:r>
        <w:rPr>
          <w:rFonts w:ascii="仿宋_GB2312" w:eastAsia="仿宋_GB2312" w:hint="eastAsia"/>
          <w:sz w:val="32"/>
          <w:szCs w:val="32"/>
        </w:rPr>
        <w:t xml:space="preserve">3.13</w:t>
      </w:r>
      <w:r>
        <w:rPr>
          <w:rFonts w:ascii="仿宋_GB2312" w:eastAsia="仿宋_GB2312" w:hint="eastAsia"/>
          <w:sz w:val="32"/>
          <w:szCs w:val="32"/>
        </w:rPr>
        <w:t xml:space="preserve">万元，</w:t>
      </w:r>
      <w:r>
        <w:rPr>
          <w:rFonts w:ascii="仿宋_GB2312" w:eastAsia="仿宋_GB2312" w:hint="eastAsia"/>
          <w:sz w:val="32"/>
          <w:szCs w:val="32"/>
        </w:rPr>
        <w:t xml:space="preserve">公务用车购置费</w:t>
      </w:r>
      <w:r>
        <w:rPr>
          <w:rFonts w:ascii="仿宋_GB2312" w:eastAsia="仿宋_GB2312" w:hint="eastAsia"/>
          <w:sz w:val="32"/>
          <w:szCs w:val="32"/>
        </w:rPr>
        <w:t xml:space="preserve">26.5</w:t>
      </w:r>
      <w:r>
        <w:rPr>
          <w:rFonts w:ascii="仿宋_GB2312" w:eastAsia="仿宋_GB2312" w:hint="eastAsia"/>
          <w:sz w:val="32"/>
          <w:szCs w:val="32"/>
        </w:rPr>
        <w:t xml:space="preserve">万元）。</w:t>
      </w:r>
      <w:r/>
    </w:p>
    <w:p>
      <w:pPr>
        <w:spacing w:lineRule="exact" w:line="600"/>
        <w:rPr>
          <w:rFonts w:ascii="黑体" w:hAnsi="黑体" w:eastAsia="黑体"/>
          <w:sz w:val="32"/>
          <w:szCs w:val="32"/>
        </w:rPr>
      </w:pPr>
      <w:r>
        <w:rPr>
          <w:rFonts w:ascii="黑体" w:hAnsi="黑体" w:eastAsia="黑体" w:hint="eastAsia"/>
          <w:sz w:val="32"/>
          <w:szCs w:val="32"/>
        </w:rPr>
        <w:t xml:space="preserve">二</w:t>
      </w:r>
      <w:r>
        <w:rPr>
          <w:rFonts w:ascii="黑体" w:hAnsi="黑体" w:eastAsia="黑体" w:hint="eastAsia"/>
          <w:sz w:val="32"/>
          <w:szCs w:val="32"/>
        </w:rPr>
        <w:t xml:space="preserve">、</w:t>
      </w:r>
      <w:r>
        <w:rPr>
          <w:rFonts w:ascii="黑体" w:hAnsi="黑体" w:eastAsia="黑体" w:hint="eastAsia"/>
          <w:sz w:val="32"/>
          <w:szCs w:val="32"/>
        </w:rPr>
        <w:t xml:space="preserve">202</w:t>
      </w:r>
      <w:r>
        <w:rPr>
          <w:rFonts w:ascii="黑体" w:hAnsi="黑体" w:eastAsia="黑体" w:hint="eastAsia"/>
          <w:sz w:val="32"/>
          <w:szCs w:val="32"/>
        </w:rPr>
        <w:t xml:space="preserve">1</w:t>
      </w:r>
      <w:r>
        <w:rPr>
          <w:rFonts w:ascii="黑体" w:hAnsi="黑体" w:eastAsia="黑体" w:hint="eastAsia"/>
          <w:sz w:val="32"/>
          <w:szCs w:val="32"/>
        </w:rPr>
        <w:t xml:space="preserve">年一般公共预算安排的“三公”经费支出情况说明</w:t>
      </w:r>
      <w:r/>
    </w:p>
    <w:p>
      <w:pPr>
        <w:spacing w:lineRule="exact" w:line="600"/>
        <w:rPr>
          <w:rFonts w:ascii="仿宋_GB2312" w:eastAsia="仿宋_GB2312"/>
          <w:sz w:val="32"/>
          <w:szCs w:val="32"/>
        </w:rPr>
      </w:pPr>
      <w:r>
        <w:rPr>
          <w:rFonts w:ascii="仿宋_GB2312" w:eastAsia="仿宋_GB2312" w:hint="eastAsia"/>
          <w:sz w:val="32"/>
          <w:szCs w:val="32"/>
        </w:rPr>
        <w:t xml:space="preserve">    202</w:t>
      </w:r>
      <w:r>
        <w:rPr>
          <w:rFonts w:ascii="仿宋_GB2312" w:eastAsia="仿宋_GB2312" w:hint="eastAsia"/>
          <w:sz w:val="32"/>
          <w:szCs w:val="32"/>
        </w:rPr>
        <w:t xml:space="preserve">1</w:t>
      </w:r>
      <w:r>
        <w:rPr>
          <w:rFonts w:ascii="仿宋_GB2312" w:eastAsia="仿宋_GB2312" w:hint="eastAsia"/>
          <w:sz w:val="32"/>
          <w:szCs w:val="32"/>
        </w:rPr>
        <w:t xml:space="preserve">年</w:t>
      </w:r>
      <w:r>
        <w:rPr>
          <w:rFonts w:ascii="仿宋_GB2312" w:eastAsia="仿宋_GB2312" w:hint="eastAsia"/>
          <w:sz w:val="32"/>
          <w:szCs w:val="32"/>
        </w:rPr>
        <w:t xml:space="preserve">一般公共预算安排</w:t>
      </w:r>
      <w:r>
        <w:rPr>
          <w:rFonts w:ascii="仿宋_GB2312" w:eastAsia="仿宋_GB2312" w:hint="eastAsia"/>
          <w:sz w:val="32"/>
          <w:szCs w:val="32"/>
        </w:rPr>
        <w:t xml:space="preserve">的“三公”经费</w:t>
      </w:r>
      <w:r>
        <w:rPr>
          <w:rFonts w:ascii="仿宋_GB2312" w:eastAsia="仿宋_GB2312" w:hint="eastAsia"/>
          <w:sz w:val="32"/>
          <w:szCs w:val="32"/>
        </w:rPr>
        <w:t xml:space="preserve">支出</w:t>
      </w:r>
      <w:r>
        <w:rPr>
          <w:rFonts w:ascii="仿宋_GB2312" w:eastAsia="仿宋_GB2312" w:hint="eastAsia"/>
          <w:sz w:val="32"/>
          <w:szCs w:val="32"/>
        </w:rPr>
        <w:t xml:space="preserve">30.07</w:t>
      </w:r>
      <w:r>
        <w:rPr>
          <w:rFonts w:ascii="仿宋_GB2312" w:eastAsia="仿宋_GB2312" w:hint="eastAsia"/>
          <w:sz w:val="32"/>
          <w:szCs w:val="32"/>
        </w:rPr>
        <w:t xml:space="preserve">万元，其中：</w:t>
      </w:r>
      <w:r>
        <w:rPr>
          <w:rFonts w:ascii="仿宋_GB2312" w:eastAsia="仿宋_GB2312" w:hint="eastAsia"/>
          <w:sz w:val="32"/>
          <w:szCs w:val="32"/>
        </w:rPr>
        <w:t xml:space="preserve">公务接待费</w:t>
      </w:r>
      <w:r>
        <w:rPr>
          <w:rFonts w:ascii="仿宋_GB2312" w:eastAsia="仿宋_GB2312" w:hint="eastAsia"/>
          <w:sz w:val="32"/>
          <w:szCs w:val="32"/>
        </w:rPr>
        <w:t xml:space="preserve">0.44万元，</w:t>
      </w:r>
      <w:r>
        <w:rPr>
          <w:rFonts w:ascii="仿宋_GB2312" w:eastAsia="仿宋_GB2312" w:hint="eastAsia"/>
          <w:sz w:val="32"/>
          <w:szCs w:val="32"/>
        </w:rPr>
        <w:t xml:space="preserve">公务用车购置及运行费</w:t>
      </w:r>
      <w:r>
        <w:rPr>
          <w:rFonts w:ascii="仿宋_GB2312" w:eastAsia="仿宋_GB2312" w:hint="eastAsia"/>
          <w:sz w:val="32"/>
          <w:szCs w:val="32"/>
        </w:rPr>
        <w:t xml:space="preserve">29.63万元（包括：</w:t>
      </w:r>
      <w:r>
        <w:rPr>
          <w:rFonts w:ascii="仿宋_GB2312" w:eastAsia="仿宋_GB2312" w:hint="eastAsia"/>
          <w:sz w:val="32"/>
          <w:szCs w:val="32"/>
        </w:rPr>
        <w:t xml:space="preserve">公务用车运行维护费</w:t>
      </w:r>
      <w:r>
        <w:rPr>
          <w:rFonts w:ascii="仿宋_GB2312" w:eastAsia="仿宋_GB2312" w:hint="eastAsia"/>
          <w:sz w:val="32"/>
          <w:szCs w:val="32"/>
        </w:rPr>
        <w:t xml:space="preserve">3.13万元，</w:t>
      </w:r>
      <w:r>
        <w:rPr>
          <w:rFonts w:ascii="仿宋_GB2312" w:eastAsia="仿宋_GB2312" w:hint="eastAsia"/>
          <w:sz w:val="32"/>
          <w:szCs w:val="32"/>
        </w:rPr>
        <w:t xml:space="preserve">公务用车购置费</w:t>
      </w:r>
      <w:r>
        <w:rPr>
          <w:rFonts w:ascii="仿宋_GB2312" w:eastAsia="仿宋_GB2312" w:hint="eastAsia"/>
          <w:sz w:val="32"/>
          <w:szCs w:val="32"/>
        </w:rPr>
        <w:t xml:space="preserve">26.5万元）。</w:t>
      </w:r>
      <w:r/>
    </w:p>
    <w:p>
      <w:pPr>
        <w:spacing w:lineRule="exact" w:line="600"/>
        <w:rPr>
          <w:rFonts w:ascii="黑体" w:hAnsi="黑体" w:eastAsia="黑体"/>
          <w:sz w:val="32"/>
          <w:szCs w:val="32"/>
        </w:rPr>
      </w:pPr>
      <w:r>
        <w:rPr>
          <w:rFonts w:ascii="黑体" w:hAnsi="黑体" w:eastAsia="黑体" w:hint="eastAsia"/>
          <w:sz w:val="32"/>
          <w:szCs w:val="32"/>
        </w:rPr>
        <w:t xml:space="preserve">三</w:t>
      </w:r>
      <w:r>
        <w:rPr>
          <w:rFonts w:ascii="黑体" w:hAnsi="黑体" w:eastAsia="黑体" w:hint="eastAsia"/>
          <w:sz w:val="32"/>
          <w:szCs w:val="32"/>
        </w:rPr>
        <w:t xml:space="preserve">、</w:t>
      </w:r>
      <w:r>
        <w:rPr>
          <w:rFonts w:ascii="黑体" w:hAnsi="黑体" w:eastAsia="黑体" w:hint="eastAsia"/>
          <w:sz w:val="32"/>
          <w:szCs w:val="32"/>
        </w:rPr>
        <w:t xml:space="preserve">“三公”经费支出增减变化的原因</w:t>
      </w:r>
      <w:r/>
    </w:p>
    <w:p>
      <w:pPr>
        <w:spacing w:lineRule="exact" w:line="600"/>
        <w:rPr>
          <w:rFonts w:ascii="仿宋_GB2312" w:eastAsia="仿宋_GB2312"/>
          <w:sz w:val="32"/>
          <w:szCs w:val="32"/>
        </w:rPr>
      </w:pPr>
      <w:r>
        <w:rPr>
          <w:rFonts w:ascii="仿宋_GB2312" w:eastAsia="仿宋_GB2312"/>
          <w:sz w:val="32"/>
          <w:szCs w:val="32"/>
        </w:rPr>
        <w:t xml:space="preserve">    1.</w:t>
      </w:r>
      <w:r>
        <w:rPr>
          <w:rFonts w:ascii="仿宋_GB2312" w:eastAsia="仿宋_GB2312"/>
          <w:sz w:val="32"/>
          <w:szCs w:val="32"/>
        </w:rPr>
        <w:t xml:space="preserve"> </w:t>
      </w:r>
      <w:r>
        <w:rPr>
          <w:rFonts w:ascii="仿宋_GB2312" w:eastAsia="仿宋_GB2312"/>
          <w:sz w:val="32"/>
          <w:szCs w:val="32"/>
        </w:rPr>
        <w:t xml:space="preserve">2021年安排自治区</w:t>
      </w:r>
      <w:r>
        <w:rPr>
          <w:rFonts w:ascii="仿宋_GB2312" w:eastAsia="仿宋_GB2312"/>
          <w:sz w:val="32"/>
          <w:szCs w:val="32"/>
        </w:rPr>
        <w:t xml:space="preserve">医</w:t>
      </w:r>
      <w:r>
        <w:rPr>
          <w:rFonts w:ascii="仿宋_GB2312" w:eastAsia="仿宋_GB2312"/>
          <w:sz w:val="32"/>
          <w:szCs w:val="32"/>
        </w:rPr>
        <w:t xml:space="preserve">保中心的“三公”经费支出30.07万元，同比增加29.64万元，增长6893%。大幅增长的主要原因是</w:t>
      </w:r>
      <w:r>
        <w:rPr>
          <w:rFonts w:ascii="仿宋_GB2312" w:eastAsia="仿宋_GB2312"/>
          <w:sz w:val="32"/>
          <w:szCs w:val="32"/>
        </w:rPr>
        <w:t xml:space="preserve">医</w:t>
      </w:r>
      <w:r>
        <w:rPr>
          <w:rFonts w:ascii="仿宋_GB2312" w:eastAsia="仿宋_GB2312"/>
          <w:sz w:val="32"/>
          <w:szCs w:val="32"/>
        </w:rPr>
        <w:t xml:space="preserve">保中心今年新购置的1辆公务用车购置费和产生的运行维护费。</w:t>
      </w:r>
      <w:r>
        <w:rPr>
          <w:rFonts w:ascii="仿宋_GB2312" w:eastAsia="仿宋_GB2312"/>
          <w:sz w:val="32"/>
        </w:rPr>
      </w:r>
    </w:p>
    <w:p>
      <w:pPr>
        <w:spacing w:lineRule="exact" w:line="60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 xml:space="preserve">.公务接待费0.44万元，与上年基本持平。为按自治区统一规定的开支标准安排的</w:t>
      </w:r>
      <w:r>
        <w:rPr>
          <w:rFonts w:ascii="仿宋_GB2312" w:eastAsia="仿宋_GB2312" w:hint="eastAsia"/>
          <w:sz w:val="32"/>
          <w:szCs w:val="32"/>
        </w:rPr>
        <w:t xml:space="preserve">医</w:t>
      </w:r>
      <w:r>
        <w:rPr>
          <w:rFonts w:ascii="仿宋_GB2312" w:eastAsia="仿宋_GB2312" w:hint="eastAsia"/>
          <w:sz w:val="32"/>
          <w:szCs w:val="32"/>
        </w:rPr>
        <w:t xml:space="preserve">保中心公务接待费。</w:t>
      </w:r>
      <w:r/>
    </w:p>
    <w:p>
      <w:pPr>
        <w:spacing w:lineRule="exact" w:line="60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 xml:space="preserve">.公务用车运行维护费3.13万元，为按自治区统一规定的开支标准安排的运行维护费。今年</w:t>
      </w:r>
      <w:r>
        <w:rPr>
          <w:rFonts w:ascii="仿宋_GB2312" w:eastAsia="仿宋_GB2312" w:hint="eastAsia"/>
          <w:sz w:val="32"/>
          <w:szCs w:val="32"/>
        </w:rPr>
        <w:t xml:space="preserve">医</w:t>
      </w:r>
      <w:r>
        <w:rPr>
          <w:rFonts w:ascii="仿宋_GB2312" w:eastAsia="仿宋_GB2312" w:hint="eastAsia"/>
          <w:sz w:val="32"/>
          <w:szCs w:val="32"/>
        </w:rPr>
        <w:t xml:space="preserve">保中心新增购置1辆公务用车后产生的全年运行维护费预算增加至3.13万元。</w:t>
      </w:r>
      <w:r/>
    </w:p>
    <w:p>
      <w:pPr>
        <w:spacing w:lineRule="exact" w:line="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4.公务用车购置费26.5万元，为按有关规定及公务车核定情况安排的</w:t>
      </w:r>
      <w:r>
        <w:rPr>
          <w:rFonts w:ascii="仿宋_GB2312" w:eastAsia="仿宋_GB2312" w:hint="eastAsia"/>
          <w:sz w:val="32"/>
          <w:szCs w:val="32"/>
        </w:rPr>
        <w:t xml:space="preserve">医</w:t>
      </w:r>
      <w:r>
        <w:rPr>
          <w:rFonts w:ascii="仿宋_GB2312" w:eastAsia="仿宋_GB2312" w:hint="eastAsia"/>
          <w:sz w:val="32"/>
          <w:szCs w:val="32"/>
        </w:rPr>
        <w:t xml:space="preserve">保中心新购置1辆业务用车的购置费。《广西壮族自治区机关事务管理局关于核定自治区医疗保障事业管理中心公务用车编制的函》（</w:t>
      </w:r>
      <w:r>
        <w:rPr>
          <w:rFonts w:ascii="仿宋_GB2312" w:eastAsia="仿宋_GB2312" w:hint="eastAsia"/>
          <w:sz w:val="32"/>
          <w:szCs w:val="32"/>
        </w:rPr>
        <w:t xml:space="preserve">桂事管</w:t>
      </w:r>
      <w:r>
        <w:rPr>
          <w:rFonts w:ascii="仿宋_GB2312" w:eastAsia="仿宋_GB2312" w:hint="eastAsia"/>
          <w:sz w:val="32"/>
          <w:szCs w:val="32"/>
        </w:rPr>
        <w:t xml:space="preserve">函〔2020〕157号）核定自治区</w:t>
      </w:r>
      <w:r>
        <w:rPr>
          <w:rFonts w:ascii="仿宋_GB2312" w:eastAsia="仿宋_GB2312" w:hint="eastAsia"/>
          <w:sz w:val="32"/>
          <w:szCs w:val="32"/>
        </w:rPr>
        <w:t xml:space="preserve">医</w:t>
      </w:r>
      <w:r>
        <w:rPr>
          <w:rFonts w:ascii="仿宋_GB2312" w:eastAsia="仿宋_GB2312" w:hint="eastAsia"/>
          <w:sz w:val="32"/>
          <w:szCs w:val="32"/>
        </w:rPr>
        <w:t xml:space="preserve">保中心公务用车编制为2辆（2021年</w:t>
      </w:r>
      <w:r>
        <w:rPr>
          <w:rFonts w:ascii="仿宋_GB2312" w:eastAsia="仿宋_GB2312" w:hint="eastAsia"/>
          <w:sz w:val="32"/>
          <w:szCs w:val="32"/>
        </w:rPr>
        <w:t xml:space="preserve">医</w:t>
      </w:r>
      <w:r>
        <w:rPr>
          <w:rFonts w:ascii="仿宋_GB2312" w:eastAsia="仿宋_GB2312" w:hint="eastAsia"/>
          <w:sz w:val="32"/>
          <w:szCs w:val="32"/>
        </w:rPr>
        <w:t xml:space="preserve">保中心拟采购1辆）。</w:t>
      </w:r>
      <w:r/>
    </w:p>
    <w:p>
      <w:pPr>
        <w:spacing w:lineRule="exact" w:line="600"/>
      </w:pPr>
      <w:r/>
      <w:r/>
    </w:p>
    <w:sectPr>
      <w:footnotePr/>
      <w:type w:val="nextPage"/>
      <w:pgSz w:w="11906" w:h="16838" w:orient="portrait"/>
      <w:pgMar w:top="1440" w:right="1800" w:bottom="1440" w:left="1800" w:header="851" w:footer="992" w:gutter="0"/>
      <w:cols w:num="1" w:sep="0" w:space="425" w:equalWidth="1"/>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E0502030303020204"/>
  </w:font>
  <w:font w:name="黑体">
    <w:panose1 w:val="02010609060101010101"/>
  </w:font>
  <w:font w:name="Arial">
    <w:panose1 w:val="020B0604020202020204"/>
  </w:font>
  <w:font w:name="方正小标宋简体">
    <w:panose1 w:val="020E0502030303020204"/>
  </w:font>
  <w:font w:name="宋体">
    <w:panose1 w:val="02010600030101010101"/>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420"/>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decimalSymbol w:val="."/>
  <w:listSeparator w:val=","/>
  <w:characterSpacingControl w:val="compressPunctuation"/>
  <w:compat>
    <w:balanceSingleByteDoubleByteWidth w:val="true"/>
    <w:doNotExpandShiftReturn w:val="true"/>
    <w:adjustLineHeightInTabl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宋体"/>
        <w:color w:val="auto"/>
        <w:spacing w:val="0"/>
        <w:position w:val="0"/>
        <w:sz w:val="21"/>
        <w:szCs w:val="22"/>
        <w:lang w:val="en-US" w:bidi="ar-SA" w:eastAsia="zh-CN"/>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0"/>
    <w:next w:val="39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91"/>
    <w:link w:val="11"/>
    <w:uiPriority w:val="9"/>
    <w:rPr>
      <w:rFonts w:ascii="Arial" w:hAnsi="Arial" w:cs="Arial" w:eastAsia="Arial"/>
      <w:sz w:val="40"/>
      <w:szCs w:val="40"/>
    </w:rPr>
  </w:style>
  <w:style w:type="paragraph" w:styleId="13">
    <w:name w:val="Heading 2"/>
    <w:basedOn w:val="390"/>
    <w:next w:val="39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1"/>
    <w:link w:val="13"/>
    <w:uiPriority w:val="9"/>
    <w:rPr>
      <w:rFonts w:ascii="Arial" w:hAnsi="Arial" w:cs="Arial" w:eastAsia="Arial"/>
      <w:sz w:val="34"/>
    </w:rPr>
  </w:style>
  <w:style w:type="paragraph" w:styleId="15">
    <w:name w:val="Heading 3"/>
    <w:basedOn w:val="390"/>
    <w:next w:val="39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1"/>
    <w:link w:val="15"/>
    <w:uiPriority w:val="9"/>
    <w:rPr>
      <w:rFonts w:ascii="Arial" w:hAnsi="Arial" w:cs="Arial" w:eastAsia="Arial"/>
      <w:sz w:val="30"/>
      <w:szCs w:val="30"/>
    </w:rPr>
  </w:style>
  <w:style w:type="paragraph" w:styleId="17">
    <w:name w:val="Heading 4"/>
    <w:basedOn w:val="390"/>
    <w:next w:val="39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1"/>
    <w:link w:val="17"/>
    <w:uiPriority w:val="9"/>
    <w:rPr>
      <w:rFonts w:ascii="Arial" w:hAnsi="Arial" w:cs="Arial" w:eastAsia="Arial"/>
      <w:b/>
      <w:bCs/>
      <w:sz w:val="26"/>
      <w:szCs w:val="26"/>
    </w:rPr>
  </w:style>
  <w:style w:type="paragraph" w:styleId="19">
    <w:name w:val="Heading 5"/>
    <w:basedOn w:val="390"/>
    <w:next w:val="39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1"/>
    <w:link w:val="19"/>
    <w:uiPriority w:val="9"/>
    <w:rPr>
      <w:rFonts w:ascii="Arial" w:hAnsi="Arial" w:cs="Arial" w:eastAsia="Arial"/>
      <w:b/>
      <w:bCs/>
      <w:sz w:val="24"/>
      <w:szCs w:val="24"/>
    </w:rPr>
  </w:style>
  <w:style w:type="paragraph" w:styleId="21">
    <w:name w:val="Heading 6"/>
    <w:basedOn w:val="390"/>
    <w:next w:val="39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1"/>
    <w:link w:val="21"/>
    <w:uiPriority w:val="9"/>
    <w:rPr>
      <w:rFonts w:ascii="Arial" w:hAnsi="Arial" w:cs="Arial" w:eastAsia="Arial"/>
      <w:b/>
      <w:bCs/>
      <w:sz w:val="22"/>
      <w:szCs w:val="22"/>
    </w:rPr>
  </w:style>
  <w:style w:type="paragraph" w:styleId="23">
    <w:name w:val="Heading 7"/>
    <w:basedOn w:val="390"/>
    <w:next w:val="39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1"/>
    <w:link w:val="23"/>
    <w:uiPriority w:val="9"/>
    <w:rPr>
      <w:rFonts w:ascii="Arial" w:hAnsi="Arial" w:cs="Arial" w:eastAsia="Arial"/>
      <w:b/>
      <w:bCs/>
      <w:i/>
      <w:iCs/>
      <w:sz w:val="22"/>
      <w:szCs w:val="22"/>
    </w:rPr>
  </w:style>
  <w:style w:type="paragraph" w:styleId="25">
    <w:name w:val="Heading 8"/>
    <w:basedOn w:val="390"/>
    <w:next w:val="39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1"/>
    <w:link w:val="25"/>
    <w:uiPriority w:val="9"/>
    <w:rPr>
      <w:rFonts w:ascii="Arial" w:hAnsi="Arial" w:cs="Arial" w:eastAsia="Arial"/>
      <w:i/>
      <w:iCs/>
      <w:sz w:val="22"/>
      <w:szCs w:val="22"/>
    </w:rPr>
  </w:style>
  <w:style w:type="paragraph" w:styleId="27">
    <w:name w:val="Heading 9"/>
    <w:basedOn w:val="390"/>
    <w:next w:val="39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1"/>
    <w:link w:val="27"/>
    <w:uiPriority w:val="9"/>
    <w:rPr>
      <w:rFonts w:ascii="Arial" w:hAnsi="Arial" w:cs="Arial" w:eastAsia="Arial"/>
      <w:i/>
      <w:iCs/>
      <w:sz w:val="21"/>
      <w:szCs w:val="21"/>
    </w:rPr>
  </w:style>
  <w:style w:type="paragraph" w:styleId="29">
    <w:name w:val="List Paragraph"/>
    <w:basedOn w:val="39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90"/>
    <w:next w:val="390"/>
    <w:link w:val="33"/>
    <w:qFormat/>
    <w:uiPriority w:val="10"/>
    <w:rPr>
      <w:sz w:val="48"/>
      <w:szCs w:val="48"/>
    </w:rPr>
    <w:pPr>
      <w:contextualSpacing w:val="true"/>
      <w:spacing w:after="200" w:before="300"/>
    </w:pPr>
  </w:style>
  <w:style w:type="character" w:styleId="33">
    <w:name w:val="Title Char"/>
    <w:basedOn w:val="391"/>
    <w:link w:val="32"/>
    <w:uiPriority w:val="10"/>
    <w:rPr>
      <w:sz w:val="48"/>
      <w:szCs w:val="48"/>
    </w:rPr>
  </w:style>
  <w:style w:type="paragraph" w:styleId="34">
    <w:name w:val="Subtitle"/>
    <w:basedOn w:val="390"/>
    <w:next w:val="390"/>
    <w:link w:val="35"/>
    <w:qFormat/>
    <w:uiPriority w:val="11"/>
    <w:rPr>
      <w:sz w:val="24"/>
      <w:szCs w:val="24"/>
    </w:rPr>
    <w:pPr>
      <w:spacing w:after="200" w:before="200"/>
    </w:pPr>
  </w:style>
  <w:style w:type="character" w:styleId="35">
    <w:name w:val="Subtitle Char"/>
    <w:basedOn w:val="391"/>
    <w:link w:val="34"/>
    <w:uiPriority w:val="11"/>
    <w:rPr>
      <w:sz w:val="24"/>
      <w:szCs w:val="24"/>
    </w:rPr>
  </w:style>
  <w:style w:type="paragraph" w:styleId="36">
    <w:name w:val="Quote"/>
    <w:basedOn w:val="390"/>
    <w:next w:val="390"/>
    <w:link w:val="37"/>
    <w:qFormat/>
    <w:uiPriority w:val="29"/>
    <w:rPr>
      <w:i/>
    </w:rPr>
    <w:pPr>
      <w:ind w:left="720" w:right="720"/>
    </w:pPr>
  </w:style>
  <w:style w:type="character" w:styleId="37">
    <w:name w:val="Quote Char"/>
    <w:link w:val="36"/>
    <w:uiPriority w:val="29"/>
    <w:rPr>
      <w:i/>
    </w:rPr>
  </w:style>
  <w:style w:type="paragraph" w:styleId="38">
    <w:name w:val="Intense Quote"/>
    <w:basedOn w:val="390"/>
    <w:next w:val="39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1"/>
    <w:link w:val="394"/>
    <w:uiPriority w:val="99"/>
  </w:style>
  <w:style w:type="character" w:styleId="43">
    <w:name w:val="Footer Char"/>
    <w:basedOn w:val="391"/>
    <w:link w:val="396"/>
    <w:uiPriority w:val="99"/>
  </w:style>
  <w:style w:type="paragraph" w:styleId="44">
    <w:name w:val="Caption"/>
    <w:basedOn w:val="390"/>
    <w:next w:val="390"/>
    <w:qFormat/>
    <w:uiPriority w:val="35"/>
    <w:semiHidden/>
    <w:unhideWhenUsed/>
    <w:rPr>
      <w:b/>
      <w:bCs/>
      <w:color w:val="4F81BD" w:themeColor="accent1"/>
      <w:sz w:val="18"/>
      <w:szCs w:val="18"/>
    </w:rPr>
    <w:pPr>
      <w:spacing w:lineRule="auto" w:line="276"/>
    </w:pPr>
  </w:style>
  <w:style w:type="character" w:styleId="45">
    <w:name w:val="Caption Char"/>
    <w:basedOn w:val="44"/>
    <w:link w:val="396"/>
    <w:uiPriority w:val="99"/>
  </w:style>
  <w:style w:type="table" w:styleId="46">
    <w:name w:val="Table Grid"/>
    <w:basedOn w:val="3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9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1"/>
    <w:uiPriority w:val="99"/>
    <w:unhideWhenUsed/>
    <w:rPr>
      <w:vertAlign w:val="superscript"/>
    </w:rPr>
  </w:style>
  <w:style w:type="paragraph" w:styleId="176">
    <w:name w:val="toc 1"/>
    <w:basedOn w:val="390"/>
    <w:next w:val="390"/>
    <w:uiPriority w:val="39"/>
    <w:unhideWhenUsed/>
    <w:pPr>
      <w:ind w:left="0" w:right="0" w:firstLine="0"/>
      <w:spacing w:after="57"/>
    </w:pPr>
  </w:style>
  <w:style w:type="paragraph" w:styleId="177">
    <w:name w:val="toc 2"/>
    <w:basedOn w:val="390"/>
    <w:next w:val="390"/>
    <w:uiPriority w:val="39"/>
    <w:unhideWhenUsed/>
    <w:pPr>
      <w:ind w:left="283" w:right="0" w:firstLine="0"/>
      <w:spacing w:after="57"/>
    </w:pPr>
  </w:style>
  <w:style w:type="paragraph" w:styleId="178">
    <w:name w:val="toc 3"/>
    <w:basedOn w:val="390"/>
    <w:next w:val="390"/>
    <w:uiPriority w:val="39"/>
    <w:unhideWhenUsed/>
    <w:pPr>
      <w:ind w:left="567" w:right="0" w:firstLine="0"/>
      <w:spacing w:after="57"/>
    </w:pPr>
  </w:style>
  <w:style w:type="paragraph" w:styleId="179">
    <w:name w:val="toc 4"/>
    <w:basedOn w:val="390"/>
    <w:next w:val="390"/>
    <w:uiPriority w:val="39"/>
    <w:unhideWhenUsed/>
    <w:pPr>
      <w:ind w:left="850" w:right="0" w:firstLine="0"/>
      <w:spacing w:after="57"/>
    </w:pPr>
  </w:style>
  <w:style w:type="paragraph" w:styleId="180">
    <w:name w:val="toc 5"/>
    <w:basedOn w:val="390"/>
    <w:next w:val="390"/>
    <w:uiPriority w:val="39"/>
    <w:unhideWhenUsed/>
    <w:pPr>
      <w:ind w:left="1134" w:right="0" w:firstLine="0"/>
      <w:spacing w:after="57"/>
    </w:pPr>
  </w:style>
  <w:style w:type="paragraph" w:styleId="181">
    <w:name w:val="toc 6"/>
    <w:basedOn w:val="390"/>
    <w:next w:val="390"/>
    <w:uiPriority w:val="39"/>
    <w:unhideWhenUsed/>
    <w:pPr>
      <w:ind w:left="1417" w:right="0" w:firstLine="0"/>
      <w:spacing w:after="57"/>
    </w:pPr>
  </w:style>
  <w:style w:type="paragraph" w:styleId="182">
    <w:name w:val="toc 7"/>
    <w:basedOn w:val="390"/>
    <w:next w:val="390"/>
    <w:uiPriority w:val="39"/>
    <w:unhideWhenUsed/>
    <w:pPr>
      <w:ind w:left="1701" w:right="0" w:firstLine="0"/>
      <w:spacing w:after="57"/>
    </w:pPr>
  </w:style>
  <w:style w:type="paragraph" w:styleId="183">
    <w:name w:val="toc 8"/>
    <w:basedOn w:val="390"/>
    <w:next w:val="390"/>
    <w:uiPriority w:val="39"/>
    <w:unhideWhenUsed/>
    <w:pPr>
      <w:ind w:left="1984" w:right="0" w:firstLine="0"/>
      <w:spacing w:after="57"/>
    </w:pPr>
  </w:style>
  <w:style w:type="paragraph" w:styleId="184">
    <w:name w:val="toc 9"/>
    <w:basedOn w:val="390"/>
    <w:next w:val="390"/>
    <w:uiPriority w:val="39"/>
    <w:unhideWhenUsed/>
    <w:pPr>
      <w:ind w:left="2268" w:right="0" w:firstLine="0"/>
      <w:spacing w:after="57"/>
    </w:pPr>
  </w:style>
  <w:style w:type="paragraph" w:styleId="185">
    <w:name w:val="TOC Heading"/>
    <w:uiPriority w:val="39"/>
    <w:unhideWhenUsed/>
  </w:style>
  <w:style w:type="paragraph" w:styleId="390" w:default="1">
    <w:name w:val="Normal"/>
    <w:qFormat/>
    <w:pPr>
      <w:jc w:val="both"/>
      <w:widowControl w:val="off"/>
    </w:pPr>
  </w:style>
  <w:style w:type="character" w:styleId="391" w:default="1">
    <w:name w:val="Default Paragraph Font"/>
    <w:uiPriority w:val="1"/>
    <w:semiHidden/>
    <w:unhideWhenUsed/>
  </w:style>
  <w:style w:type="table" w:styleId="392" w:default="1">
    <w:name w:val="Normal Table"/>
    <w:uiPriority w:val="99"/>
    <w:semiHidden/>
    <w:unhideWhenUsed/>
    <w:tblPr>
      <w:tblInd w:w="0" w:type="dxa"/>
      <w:tblCellMar>
        <w:left w:w="108" w:type="dxa"/>
        <w:top w:w="0" w:type="dxa"/>
        <w:right w:w="108" w:type="dxa"/>
        <w:bottom w:w="0" w:type="dxa"/>
      </w:tblCellMar>
    </w:tblPr>
  </w:style>
  <w:style w:type="numbering" w:styleId="393" w:default="1">
    <w:name w:val="No List"/>
    <w:uiPriority w:val="99"/>
    <w:semiHidden/>
    <w:unhideWhenUsed/>
  </w:style>
  <w:style w:type="paragraph" w:styleId="394">
    <w:name w:val="Header"/>
    <w:basedOn w:val="390"/>
    <w:link w:val="395"/>
    <w:uiPriority w:val="99"/>
    <w:semiHidden/>
    <w:unhideWhenUsed/>
    <w:rPr>
      <w:sz w:val="18"/>
      <w:szCs w:val="18"/>
    </w:rPr>
    <w:pPr>
      <w:jc w:val="center"/>
      <w:snapToGrid w:val="0"/>
      <w:tabs>
        <w:tab w:val="center" w:pos="4153" w:leader="none"/>
        <w:tab w:val="right" w:pos="8306" w:leader="none"/>
      </w:tabs>
      <w:pBdr>
        <w:bottom w:val="single" w:sz="6" w:space="1" w:color="auto"/>
      </w:pBdr>
    </w:pPr>
  </w:style>
  <w:style w:type="character" w:styleId="395" w:customStyle="1">
    <w:name w:val="页眉 字符"/>
    <w:basedOn w:val="391"/>
    <w:link w:val="394"/>
    <w:uiPriority w:val="99"/>
    <w:semiHidden/>
    <w:rPr>
      <w:sz w:val="18"/>
      <w:szCs w:val="18"/>
    </w:rPr>
  </w:style>
  <w:style w:type="paragraph" w:styleId="396">
    <w:name w:val="Footer"/>
    <w:basedOn w:val="390"/>
    <w:link w:val="397"/>
    <w:uiPriority w:val="99"/>
    <w:semiHidden/>
    <w:unhideWhenUsed/>
    <w:rPr>
      <w:sz w:val="18"/>
      <w:szCs w:val="18"/>
    </w:rPr>
    <w:pPr>
      <w:jc w:val="left"/>
      <w:snapToGrid w:val="0"/>
      <w:tabs>
        <w:tab w:val="center" w:pos="4153" w:leader="none"/>
        <w:tab w:val="right" w:pos="8306" w:leader="none"/>
      </w:tabs>
    </w:pPr>
  </w:style>
  <w:style w:type="character" w:styleId="397" w:customStyle="1">
    <w:name w:val="页脚 字符"/>
    <w:basedOn w:val="391"/>
    <w:link w:val="396"/>
    <w:uiPriority w:val="99"/>
    <w:semiHidden/>
    <w:rPr>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毕升Office/0.0.0.0</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规划财务处-何融林</dc:creator>
  <cp:revision>3</cp:revision>
  <dcterms:created xsi:type="dcterms:W3CDTF">2021-02-26T00:51:00Z</dcterms:created>
  <dcterms:modified xsi:type="dcterms:W3CDTF">2021-02-26T08:32:23Z</dcterms:modified>
</cp:coreProperties>
</file>