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60" w:lineRule="exact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附件</w:t>
      </w:r>
    </w:p>
    <w:p>
      <w:pPr>
        <w:pStyle w:val="3"/>
        <w:spacing w:line="560" w:lineRule="exact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bidi w:val="0"/>
        <w:spacing w:before="41" w:line="560" w:lineRule="exact"/>
        <w:ind w:right="-64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1A1A1A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1A1A1A"/>
          <w:sz w:val="44"/>
          <w:szCs w:val="44"/>
        </w:rPr>
        <w:t>自治区医保局</w:t>
      </w:r>
      <w:r>
        <w:rPr>
          <w:rFonts w:hint="eastAsia" w:ascii="方正小标宋简体" w:hAnsi="方正小标宋简体" w:eastAsia="方正小标宋简体" w:cs="方正小标宋简体"/>
          <w:color w:val="1A1A1A"/>
          <w:sz w:val="44"/>
          <w:szCs w:val="44"/>
          <w:lang w:val="en-US" w:eastAsia="zh-CN"/>
        </w:rPr>
        <w:t>法律顾问</w:t>
      </w:r>
      <w:r>
        <w:rPr>
          <w:rFonts w:hint="eastAsia" w:ascii="方正小标宋简体" w:hAnsi="方正小标宋简体" w:eastAsia="方正小标宋简体" w:cs="方正小标宋简体"/>
          <w:color w:val="1A1A1A"/>
          <w:sz w:val="44"/>
          <w:szCs w:val="44"/>
        </w:rPr>
        <w:t>服务采购需求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bidi w:val="0"/>
        <w:spacing w:before="5" w:line="560" w:lineRule="exact"/>
        <w:jc w:val="center"/>
        <w:textAlignment w:val="auto"/>
        <w:rPr>
          <w:rFonts w:hint="eastAsia" w:ascii="方正小标宋简体" w:hAnsi="仿宋_GB2312" w:eastAsia="方正小标宋简体" w:cs="仿宋_GB23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wordWrap/>
        <w:topLinePunct w:val="0"/>
        <w:bidi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服务</w:t>
      </w:r>
      <w:r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  <w:t>对象</w:t>
      </w:r>
      <w:r>
        <w:rPr>
          <w:rFonts w:hint="eastAsia" w:ascii="黑体" w:hAnsi="黑体" w:eastAsia="黑体" w:cs="仿宋_GB2312"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wordWrap/>
        <w:topLinePunct w:val="0"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广西壮族自治区医疗保障局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、广西壮族自治区医疗保障事业管理中心、广西壮族自治区医疗保障基金监管事务中心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 w:val="0"/>
        <w:wordWrap/>
        <w:overflowPunct w:val="0"/>
        <w:topLinePunct w:val="0"/>
        <w:bidi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采购预算（预算控制价）：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仿宋_GB2312"/>
          <w:bCs/>
          <w:sz w:val="32"/>
          <w:szCs w:val="32"/>
        </w:rPr>
        <w:t>、服务</w:t>
      </w:r>
      <w:r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  <w:t>期限</w:t>
      </w:r>
      <w:r>
        <w:rPr>
          <w:rFonts w:hint="eastAsia" w:ascii="黑体" w:hAnsi="黑体" w:eastAsia="黑体" w:cs="仿宋_GB2312"/>
          <w:bCs/>
          <w:sz w:val="32"/>
          <w:szCs w:val="32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2024年1月1日—2025年12月31日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黑体" w:hAnsi="黑体" w:eastAsia="黑体" w:cs="仿宋_GB2312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仿宋_GB2312"/>
          <w:bCs/>
          <w:sz w:val="32"/>
          <w:szCs w:val="32"/>
        </w:rPr>
        <w:t>、</w:t>
      </w:r>
      <w:r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  <w:t>资质要求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）具有独立承担民事责任的能力，经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司法部门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批准成立的律师事务所，成立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年以上（提供执业许可）；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近三年内在执业活动中未受行业协会处罚；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具有较强的综合法律服务能力，有足够的服务时间与人员配备。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服务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向律师事务所购买法律服务，包括以下内容：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(一)为重大行政决策、重要行政行为提供法律意见；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(二)为法规规章草案、党内法规草案和规范性文件送审稿提供法律意见（参加服务对象规范性文件、政策制定评审会等会议不少于10次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(三)参与处理行政复议、诉讼、仲裁等法律事务；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(四)审查以本局及直属各单位为当事人的合同；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(五)协助本局开展法制宣传教育工作（不少于3次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(六)协助编写广西医保领域行政执法、行政诉讼典型案例分析汇编；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(七)需要法律顾问参与的其他事务。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820D6A"/>
    <w:multiLevelType w:val="singleLevel"/>
    <w:tmpl w:val="9F820D6A"/>
    <w:lvl w:ilvl="0" w:tentative="0">
      <w:start w:val="1"/>
      <w:numFmt w:val="chineseCounting"/>
      <w:suff w:val="nothing"/>
      <w:lvlText w:val="%1、"/>
      <w:lvlJc w:val="left"/>
      <w:rPr>
        <w:rFonts w:hint="eastAsia" w:ascii="黑体" w:hAnsi="黑体" w:eastAsia="黑体" w:cs="黑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5YTk2NWU3OTRhNTU0YjZlNWE0ODExMjY4YzM0MTgifQ=="/>
  </w:docVars>
  <w:rsids>
    <w:rsidRoot w:val="3CEF141B"/>
    <w:rsid w:val="3CEF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="0" w:after="140" w:line="276" w:lineRule="auto"/>
    </w:pPr>
  </w:style>
  <w:style w:type="paragraph" w:customStyle="1" w:styleId="3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2023-12-11T01:26:00Z</dcterms:created>
  <dc:creator>纯粹几何</dc:creator>
  <cp:lastModifiedBy>纯粹几何</cp:lastModifiedBy>
  <dcterms:modified xsi:type="dcterms:W3CDTF">2023-12-11T01:27:02Z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1E4064350CA64B90AA336E091C35374B_11</vt:lpwstr>
  </property>
</Properties>
</file>