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粗黑宋简体" w:eastAsia="方正小标宋简体" w:cs="方正粗黑宋简体"/>
          <w:bCs/>
          <w:sz w:val="44"/>
          <w:szCs w:val="44"/>
        </w:rPr>
      </w:pPr>
      <w:r>
        <w:rPr>
          <w:rFonts w:hint="eastAsia" w:ascii="方正小标宋简体" w:hAnsi="方正粗黑宋简体" w:eastAsia="方正小标宋简体" w:cs="方正粗黑宋简体"/>
          <w:bCs/>
          <w:sz w:val="44"/>
          <w:szCs w:val="44"/>
        </w:rPr>
        <w:t>2021年广西病案信息（医保DRG付费）</w:t>
      </w:r>
    </w:p>
    <w:p>
      <w:pPr>
        <w:spacing w:line="560" w:lineRule="exact"/>
        <w:jc w:val="center"/>
        <w:rPr>
          <w:rFonts w:ascii="方正小标宋简体" w:hAnsi="方正粗黑宋简体" w:eastAsia="方正小标宋简体" w:cs="方正粗黑宋简体"/>
          <w:bCs/>
          <w:sz w:val="44"/>
          <w:szCs w:val="44"/>
        </w:rPr>
      </w:pPr>
      <w:r>
        <w:rPr>
          <w:rFonts w:hint="eastAsia" w:ascii="方正小标宋简体" w:hAnsi="方正粗黑宋简体" w:eastAsia="方正小标宋简体" w:cs="方正粗黑宋简体"/>
          <w:bCs/>
          <w:sz w:val="44"/>
          <w:szCs w:val="44"/>
        </w:rPr>
        <w:t>编写竞赛技术文件</w:t>
      </w:r>
    </w:p>
    <w:p>
      <w:pPr>
        <w:spacing w:line="560" w:lineRule="exact"/>
        <w:ind w:firstLine="640" w:firstLineChars="200"/>
        <w:rPr>
          <w:rFonts w:ascii="仿宋_GB2312" w:hAnsi="方正粗黑宋简体" w:eastAsia="仿宋_GB2312" w:cs="方正粗黑宋简体"/>
          <w:bCs/>
          <w:sz w:val="32"/>
          <w:szCs w:val="32"/>
        </w:rPr>
      </w:pPr>
    </w:p>
    <w:p>
      <w:pPr>
        <w:pStyle w:val="7"/>
        <w:spacing w:line="560" w:lineRule="exact"/>
        <w:ind w:firstLine="640"/>
        <w:rPr>
          <w:rFonts w:ascii="黑体" w:hAnsi="黑体" w:eastAsia="黑体" w:cs="微软雅黑"/>
          <w:bCs/>
          <w:sz w:val="32"/>
          <w:szCs w:val="32"/>
        </w:rPr>
      </w:pPr>
      <w:r>
        <w:rPr>
          <w:rFonts w:hint="eastAsia" w:ascii="黑体" w:hAnsi="黑体" w:eastAsia="黑体" w:cs="微软雅黑"/>
          <w:bCs/>
          <w:sz w:val="32"/>
          <w:szCs w:val="32"/>
        </w:rPr>
        <w:t>一、竞赛技术文件制定标准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竞赛技术文件参照《疾病和有关健康问题的国际统计分类》（ICD-10）（三卷）、《国际疾病分类第九版临床修订本手术与操作》（ICD-9-CM-3）、国家卫健委《住院病案首页数据填写质量规范》、国家医疗保障局《医疗保障基金结算清单填写规范》（试行），广西壮族自治区医疗保障局《关于进一步推进全区疾病诊断相关分组付费方式改革工作的通知》，结合病案信息专业技术资格和病案编码岗位要求制定。</w:t>
      </w:r>
    </w:p>
    <w:p>
      <w:pPr>
        <w:pStyle w:val="7"/>
        <w:spacing w:line="560" w:lineRule="exact"/>
        <w:ind w:firstLine="640"/>
        <w:rPr>
          <w:rFonts w:ascii="黑体" w:hAnsi="黑体" w:eastAsia="黑体" w:cs="微软雅黑"/>
          <w:bCs/>
          <w:sz w:val="32"/>
          <w:szCs w:val="32"/>
        </w:rPr>
      </w:pPr>
      <w:r>
        <w:rPr>
          <w:rFonts w:hint="eastAsia" w:ascii="黑体" w:hAnsi="黑体" w:eastAsia="黑体" w:cs="微软雅黑"/>
          <w:bCs/>
          <w:sz w:val="32"/>
          <w:szCs w:val="32"/>
        </w:rPr>
        <w:t>二、竞赛内容、形式和时间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（一）竞赛内容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竞赛内容以病案信息技术专业实践能力部分为主，综合临床医学、计算机应用等专业知识，考核运用ICD-10与ICD-9-CM-3进行疾病与手术操作编码的技能，医疗保障基金结算清单填写规范掌握情况，以及病案首页质控与首页信息检索能力。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（二）竞赛形式</w:t>
      </w:r>
    </w:p>
    <w:p>
      <w:pPr>
        <w:pStyle w:val="7"/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竞赛采用单人竞赛形式进行，每位选手独立答题，依次完成以下3项赛题：</w:t>
      </w:r>
    </w:p>
    <w:p>
      <w:pPr>
        <w:pStyle w:val="7"/>
        <w:spacing w:line="560" w:lineRule="exact"/>
        <w:ind w:firstLine="579" w:firstLineChars="181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1.第一项：理论考试。题型包括填空题、选择题和简答题。限时30分钟。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2.第二项： 编码实操。题型包括：一、疾病或手术操作编码；二、按照国家医疗保障局《医疗保障基金结算清单填写规范》（试行）要求选择主要诊断或主要手术；三、病案首页信息检索。限时70分钟。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3.第三项：病案首页质控。每位选手需要完成2份病案的首页质控。限时20分钟。</w:t>
      </w:r>
    </w:p>
    <w:p>
      <w:pPr>
        <w:pStyle w:val="7"/>
        <w:spacing w:line="580" w:lineRule="exact"/>
        <w:ind w:firstLine="64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（三）竞赛时间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竞赛时间为120分钟。</w:t>
      </w:r>
    </w:p>
    <w:p>
      <w:pPr>
        <w:pStyle w:val="7"/>
        <w:spacing w:line="580" w:lineRule="exact"/>
        <w:ind w:firstLine="640"/>
        <w:rPr>
          <w:rFonts w:ascii="黑体" w:hAnsi="黑体" w:eastAsia="黑体" w:cs="微软雅黑"/>
          <w:bCs/>
          <w:sz w:val="32"/>
          <w:szCs w:val="32"/>
        </w:rPr>
      </w:pPr>
      <w:r>
        <w:rPr>
          <w:rFonts w:hint="eastAsia" w:ascii="黑体" w:hAnsi="黑体" w:eastAsia="黑体" w:cs="微软雅黑"/>
          <w:bCs/>
          <w:sz w:val="32"/>
          <w:szCs w:val="32"/>
        </w:rPr>
        <w:t>三、竞赛范围</w:t>
      </w:r>
    </w:p>
    <w:p>
      <w:pPr>
        <w:pStyle w:val="7"/>
        <w:spacing w:line="580" w:lineRule="exact"/>
        <w:ind w:firstLine="64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（一）竞赛范围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1.理论考试。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闭卷考试，考查编码员对病案信息管理及DRG付费有关知识的掌握情况。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2.编码实操。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题型I.根据题目给出的疾病诊断或手术操作名称，选择主导词，使用工具书查找编码，并在试卷上回答查找步骤和最终编码。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题型II.根据题目中的病例情况描述，按照国家医疗保障局《医疗保障基金结算清单填写规范》（试行）要求，选择主要诊断和（或）主要手术操作，并给予编码。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题型III.分析检索题目的要求，写出对应的检索公式，规范表达每一个检索条件以及条件之间的逻辑关系。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3.病案首页质控。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阅读所抽选的病案资料，对病案首页的基本信息、住院信息和诊断手术信息、其他信息等项目进行质量规范检查，并填写质控表。</w:t>
      </w:r>
    </w:p>
    <w:p>
      <w:pPr>
        <w:spacing w:line="580" w:lineRule="exact"/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（二）主要参考资料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1.《疾病和有关健康问题的国际统计分类》（ICD-10）（三卷） 第二版（竞赛时由组委会提供）。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2.《国际疾病分类第九版临床修订本手术与操作》（ICD-9-CM-3）  2011版（竞赛时由组委会提供）。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3.《病案信息学》第二版，人民卫生出版社出版。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4.《住院病案首页数据填写质量规范》国家卫健委。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5.《医疗保障基金结算清单填写规范》国家医疗保障局</w:t>
      </w:r>
    </w:p>
    <w:p>
      <w:pPr>
        <w:pStyle w:val="7"/>
        <w:spacing w:line="580" w:lineRule="exact"/>
        <w:ind w:firstLine="640"/>
        <w:rPr>
          <w:rFonts w:ascii="黑体" w:hAnsi="黑体" w:eastAsia="黑体" w:cs="微软雅黑"/>
          <w:bCs/>
          <w:sz w:val="32"/>
          <w:szCs w:val="32"/>
        </w:rPr>
      </w:pPr>
      <w:r>
        <w:rPr>
          <w:rFonts w:hint="eastAsia" w:ascii="黑体" w:hAnsi="黑体" w:eastAsia="黑体" w:cs="微软雅黑"/>
          <w:bCs/>
          <w:sz w:val="32"/>
          <w:szCs w:val="32"/>
        </w:rPr>
        <w:t>四、竞赛命题及评分办法</w:t>
      </w:r>
    </w:p>
    <w:p>
      <w:pPr>
        <w:pStyle w:val="7"/>
        <w:spacing w:line="580" w:lineRule="exact"/>
        <w:ind w:firstLine="640"/>
        <w:rPr>
          <w:rFonts w:ascii="楷体_GB2312" w:hAnsi="黑体" w:eastAsia="楷体_GB2312" w:cs="仿宋"/>
          <w:bCs/>
          <w:sz w:val="32"/>
          <w:szCs w:val="32"/>
        </w:rPr>
      </w:pPr>
      <w:r>
        <w:rPr>
          <w:rFonts w:hint="eastAsia" w:ascii="楷体_GB2312" w:hAnsi="黑体" w:eastAsia="楷体_GB2312" w:cs="仿宋"/>
          <w:bCs/>
          <w:sz w:val="32"/>
          <w:szCs w:val="32"/>
        </w:rPr>
        <w:t>（一）命题原则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依据《疾病和有关健康问题的国际统计分类》第二卷指导手册、《住院病案首页数据填写质量规范》以及《医疗保障基金结算清单填写规范》,注重病案信息管理专业的核心技术，体现实际应用能力，考核病案编码人员的综合实力，促进病案首页质量持续提高和病案管理人才的培养。</w:t>
      </w:r>
    </w:p>
    <w:p>
      <w:pPr>
        <w:pStyle w:val="7"/>
        <w:spacing w:line="580" w:lineRule="exact"/>
        <w:ind w:firstLine="64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（二）命题方式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由组委会组织专家命题。</w:t>
      </w:r>
    </w:p>
    <w:p>
      <w:pPr>
        <w:pStyle w:val="7"/>
        <w:spacing w:line="580" w:lineRule="exact"/>
        <w:ind w:firstLine="64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（三）评分办法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个人决赛成绩=答题卷面总成绩（满分200分）-专业素养表现扣分（最高10分）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团体决赛成绩=队员个人决赛成绩之和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1.答题卷面总成绩=赛项一成绩+赛项二成绩+赛项三成绩。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三项赛题总满分为200分，其中赛项一满分为50分，赛项二满分为100分、赛项三满分为50分。竞赛结束后，由考官组根据考题评分标准现场阅卷评分。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2.专业素养表现扣分：竞赛过程中，选手有下列情形的，对应扣除综合表现分，最高扣除10分。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（1）大声喧哗、扰乱赛场秩序及干扰考官工作的，扣5分，情况严重者取消竞赛资格。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（2）违反诚信原则，发生舞弊情形的，扣10分，情况严重者取消竞赛资格。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（3）不听从考官指令，提前开始答题，或者考官宣布答题时间结束仍不停止答题的，扣分2分。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由考官组根据选手现场的竞赛超时、文明素养、考场纪律表现进行综合评判，填写扣分表并签名确认。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3.奖励评定</w:t>
      </w:r>
    </w:p>
    <w:p>
      <w:pPr>
        <w:pStyle w:val="7"/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（1）团体奖</w:t>
      </w:r>
    </w:p>
    <w:p>
      <w:pPr>
        <w:pStyle w:val="7"/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团体决赛成绩等于参赛队4名选手的个人决赛成绩之和。根据最终成绩排名，评出团体一、二、三等奖及优秀奖。</w:t>
      </w:r>
    </w:p>
    <w:p>
      <w:pPr>
        <w:pStyle w:val="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</w:t>
      </w:r>
      <w:r>
        <w:rPr>
          <w:rFonts w:hint="eastAsia" w:ascii="仿宋_GB2312" w:eastAsia="仿宋_GB2312"/>
          <w:sz w:val="32"/>
          <w:szCs w:val="32"/>
        </w:rPr>
        <w:t>）个人奖</w:t>
      </w:r>
    </w:p>
    <w:p>
      <w:pPr>
        <w:pStyle w:val="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每位选手按个人决赛成绩参加排名评比，决赛成绩排名前10名，将获优秀个人奖，颁发获奖证书。</w:t>
      </w:r>
    </w:p>
    <w:p>
      <w:pPr>
        <w:pStyle w:val="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（3）广西技术能手</w:t>
      </w:r>
    </w:p>
    <w:p>
      <w:pPr>
        <w:pStyle w:val="7"/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个人决赛成绩第1名与第2名两位选手，经自治区人力资源社会保障厅核准后，授予“广西技术能手”称号并颁发证书。</w:t>
      </w:r>
    </w:p>
    <w:p>
      <w:pPr>
        <w:pStyle w:val="7"/>
        <w:spacing w:line="580" w:lineRule="exact"/>
        <w:ind w:firstLine="640"/>
        <w:rPr>
          <w:rFonts w:ascii="黑体" w:hAnsi="黑体" w:eastAsia="黑体" w:cs="微软雅黑"/>
          <w:bCs/>
          <w:sz w:val="32"/>
          <w:szCs w:val="32"/>
        </w:rPr>
      </w:pPr>
      <w:r>
        <w:rPr>
          <w:rFonts w:hint="eastAsia" w:ascii="黑体" w:hAnsi="黑体" w:eastAsia="黑体" w:cs="微软雅黑"/>
          <w:bCs/>
          <w:sz w:val="32"/>
          <w:szCs w:val="32"/>
        </w:rPr>
        <w:t>五、竞赛场地、赛程设施要求</w:t>
      </w:r>
    </w:p>
    <w:p>
      <w:pPr>
        <w:pStyle w:val="7"/>
        <w:spacing w:line="580" w:lineRule="exact"/>
        <w:ind w:firstLine="640"/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（一）竞赛场地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1.赛场面积：每个赛位不少于2平米。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2.每个赛位标明参赛编号。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3.每个赛位配备所需用品：纸、笔。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4.明亮整洁，无外界干扰。</w:t>
      </w:r>
    </w:p>
    <w:p>
      <w:pPr>
        <w:spacing w:line="580" w:lineRule="exact"/>
        <w:ind w:firstLine="640" w:firstLineChars="200"/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（二）赛场设施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1.长桌、座椅。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2.手消毒液、酒精湿巾。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3.赛场配备相关工作人员。</w:t>
      </w:r>
    </w:p>
    <w:p>
      <w:pPr>
        <w:pStyle w:val="7"/>
        <w:spacing w:line="580" w:lineRule="exact"/>
        <w:ind w:firstLine="640"/>
        <w:rPr>
          <w:rFonts w:ascii="黑体" w:hAnsi="黑体" w:eastAsia="黑体" w:cs="微软雅黑"/>
          <w:bCs/>
          <w:sz w:val="32"/>
          <w:szCs w:val="32"/>
        </w:rPr>
      </w:pPr>
      <w:r>
        <w:rPr>
          <w:rFonts w:hint="eastAsia" w:ascii="黑体" w:hAnsi="黑体" w:eastAsia="黑体" w:cs="微软雅黑"/>
          <w:bCs/>
          <w:sz w:val="32"/>
          <w:szCs w:val="32"/>
        </w:rPr>
        <w:t>六、竞赛规则</w:t>
      </w:r>
    </w:p>
    <w:p>
      <w:pPr>
        <w:pStyle w:val="7"/>
        <w:spacing w:line="580" w:lineRule="exact"/>
        <w:ind w:firstLine="64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（一）竞赛现场规定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1.竞赛场地由大赛组委会指定。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2.竞赛第二项内容-编码实操，需要使用的编码工具书：ICD-10第一卷和第三卷、ICD-9- CM-3（2011版），由参赛个人准备。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3.参赛选手在竞赛前30分钟凭参赛证、身份证到竞赛现场检录，经工作人员检查工具书合格后方可进入赛场。参赛选手开赛迟到30分及以上者，按自动弃权处理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4.参赛选手不得携带电子产品、文字资料等进入竞赛现场，否则视同舞弊行为。竞赛用品用具一般不予调换，若有异议，由裁判长决定是否调换。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5.裁判长宣布竞赛正式开始后，参赛选手方可进行答题操作。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6.如因不可抗拒因素影响答题时，参赛选手提出，经裁判长核实情况后裁决。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7.竞赛过程中，考官应认真填写《竞赛记录表》。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8.竞赛中提前交卷者，应先举手请示考官，经考官批准并收取试卷后，离开赛位移步至候场区。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9.除当场次的参赛选手、领队及指定负责该场次的考官和工作人员外，其他人员谢绝进入竞赛现场。进入赛场人员均须佩戴胸牌并遵守赛场纪律， </w:t>
      </w:r>
    </w:p>
    <w:p>
      <w:pPr>
        <w:pStyle w:val="7"/>
        <w:spacing w:line="580" w:lineRule="exact"/>
        <w:ind w:firstLine="64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（二）竞赛安全要求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1.竞赛场地应配备必要的消防设施，并应保持场地干净整洁，禁止堆放不必要的物品。竞赛前，会场人员应了解灭火设备以及紧急出口的位置、逃生路线。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2.禁止在场内吸烟，禁止携带易燃易爆等危险物品进入赛场。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3.所有人员进入赛场应全程佩戴口罩，并服从工作人员指引，经指定通道坐到指定位置，禁止在赛场内进食。</w:t>
      </w:r>
    </w:p>
    <w:p>
      <w:pPr>
        <w:pStyle w:val="7"/>
        <w:spacing w:line="580" w:lineRule="exact"/>
        <w:ind w:firstLine="640"/>
        <w:rPr>
          <w:rFonts w:ascii="黑体" w:hAnsi="黑体" w:eastAsia="黑体" w:cs="微软雅黑"/>
          <w:bCs/>
          <w:sz w:val="32"/>
          <w:szCs w:val="32"/>
        </w:rPr>
      </w:pPr>
      <w:r>
        <w:rPr>
          <w:rFonts w:hint="eastAsia" w:ascii="黑体" w:hAnsi="黑体" w:eastAsia="黑体" w:cs="微软雅黑"/>
          <w:bCs/>
          <w:sz w:val="32"/>
          <w:szCs w:val="32"/>
        </w:rPr>
        <w:t>七、其他</w:t>
      </w:r>
    </w:p>
    <w:p>
      <w:pPr>
        <w:pStyle w:val="7"/>
        <w:spacing w:line="58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（一）本技术文件适用于自治区级竞赛项目。</w:t>
      </w:r>
    </w:p>
    <w:p>
      <w:pPr>
        <w:pStyle w:val="7"/>
        <w:spacing w:line="580" w:lineRule="exact"/>
        <w:ind w:firstLine="640"/>
      </w:pPr>
      <w:r>
        <w:rPr>
          <w:rFonts w:hint="eastAsia" w:ascii="仿宋_GB2312" w:eastAsia="仿宋_GB2312"/>
          <w:sz w:val="32"/>
          <w:szCs w:val="32"/>
        </w:rPr>
        <w:t>（二）本技术文件的最终解释权归竞赛组委会。</w:t>
      </w:r>
    </w:p>
    <w:p>
      <w:pPr>
        <w:spacing w:line="580" w:lineRule="exact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18" w:right="1304" w:bottom="1418" w:left="1588" w:header="851" w:footer="1304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 w:firstLine="280" w:firstLineChars="100"/>
      <w:jc w:val="right"/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64AAC"/>
    <w:rsid w:val="24171F74"/>
    <w:rsid w:val="64464A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2021-12-30T07:47:00Z</dcterms:created>
  <dc:creator>dengd</dc:creator>
  <cp:lastModifiedBy>dengd</cp:lastModifiedBy>
  <dcterms:modified xsi:type="dcterms:W3CDTF">2021-12-30T07:47:31Z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