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宋体"/>
          <w:kern w:val="0"/>
          <w:sz w:val="32"/>
          <w:szCs w:val="32"/>
        </w:rPr>
      </w:pPr>
      <w:r>
        <w:rPr>
          <w:rFonts w:hint="eastAsia" w:ascii="黑体" w:hAnsi="黑体" w:eastAsia="黑体" w:cs="宋体"/>
          <w:kern w:val="0"/>
          <w:sz w:val="32"/>
          <w:szCs w:val="32"/>
        </w:rPr>
        <w:t>附件</w:t>
      </w:r>
    </w:p>
    <w:p>
      <w:pPr>
        <w:spacing w:line="560" w:lineRule="exact"/>
        <w:jc w:val="left"/>
        <w:rPr>
          <w:rFonts w:hint="eastAsia" w:ascii="黑体" w:hAnsi="黑体" w:eastAsia="黑体" w:cs="宋体"/>
          <w:kern w:val="0"/>
          <w:sz w:val="32"/>
          <w:szCs w:val="32"/>
        </w:rPr>
      </w:pP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广西壮族自治区医疗保障基金监管违规问题清单（2022年第一批）</w:t>
      </w:r>
    </w:p>
    <w:p>
      <w:pPr>
        <w:spacing w:line="560" w:lineRule="exact"/>
        <w:jc w:val="left"/>
        <w:rPr>
          <w:rFonts w:hint="eastAsia" w:ascii="仿宋_GB2312" w:hAnsi="华文仿宋" w:eastAsia="仿宋_GB2312" w:cs="宋体"/>
          <w:kern w:val="0"/>
          <w:sz w:val="32"/>
          <w:szCs w:val="32"/>
        </w:rPr>
      </w:pPr>
    </w:p>
    <w:tbl>
      <w:tblPr>
        <w:tblStyle w:val="6"/>
        <w:tblW w:w="14928" w:type="dxa"/>
        <w:tblInd w:w="-176" w:type="dxa"/>
        <w:tblLayout w:type="autofit"/>
        <w:tblCellMar>
          <w:top w:w="0" w:type="dxa"/>
          <w:left w:w="108" w:type="dxa"/>
          <w:bottom w:w="0" w:type="dxa"/>
          <w:right w:w="108" w:type="dxa"/>
        </w:tblCellMar>
      </w:tblPr>
      <w:tblGrid>
        <w:gridCol w:w="1420"/>
        <w:gridCol w:w="2564"/>
        <w:gridCol w:w="1701"/>
        <w:gridCol w:w="3640"/>
        <w:gridCol w:w="4843"/>
        <w:gridCol w:w="760"/>
      </w:tblGrid>
      <w:tr>
        <w:tblPrEx>
          <w:tblCellMar>
            <w:top w:w="0" w:type="dxa"/>
            <w:left w:w="108" w:type="dxa"/>
            <w:bottom w:w="0" w:type="dxa"/>
            <w:right w:w="108" w:type="dxa"/>
          </w:tblCellMar>
        </w:tblPrEx>
        <w:trPr>
          <w:wBefore w:w="0" w:type="dxa"/>
          <w:wAfter w:w="0" w:type="dxa"/>
          <w:trHeight w:val="480" w:hRule="atLeast"/>
          <w:tblHeader/>
        </w:trPr>
        <w:tc>
          <w:tcPr>
            <w:tcW w:w="14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kern w:val="0"/>
                <w:sz w:val="22"/>
              </w:rPr>
            </w:pPr>
            <w:r>
              <w:rPr>
                <w:rFonts w:hint="eastAsia" w:ascii="黑体" w:hAnsi="黑体" w:eastAsia="黑体" w:cs="宋体"/>
                <w:kern w:val="0"/>
                <w:sz w:val="22"/>
              </w:rPr>
              <w:t>行为认定</w:t>
            </w:r>
          </w:p>
        </w:tc>
        <w:tc>
          <w:tcPr>
            <w:tcW w:w="256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kern w:val="0"/>
                <w:sz w:val="22"/>
              </w:rPr>
            </w:pPr>
            <w:r>
              <w:rPr>
                <w:rFonts w:hint="eastAsia" w:ascii="黑体" w:hAnsi="黑体" w:eastAsia="黑体" w:cs="宋体"/>
                <w:kern w:val="0"/>
                <w:sz w:val="22"/>
              </w:rPr>
              <w:t>违规项目</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kern w:val="0"/>
                <w:sz w:val="22"/>
              </w:rPr>
            </w:pPr>
            <w:r>
              <w:rPr>
                <w:rFonts w:hint="eastAsia" w:ascii="黑体" w:hAnsi="黑体" w:eastAsia="黑体" w:cs="宋体"/>
                <w:kern w:val="0"/>
                <w:sz w:val="22"/>
              </w:rPr>
              <w:t>项目编码</w:t>
            </w:r>
          </w:p>
        </w:tc>
        <w:tc>
          <w:tcPr>
            <w:tcW w:w="36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kern w:val="0"/>
                <w:sz w:val="22"/>
              </w:rPr>
            </w:pPr>
            <w:r>
              <w:rPr>
                <w:rFonts w:hint="eastAsia" w:ascii="黑体" w:hAnsi="黑体" w:eastAsia="黑体" w:cs="宋体"/>
                <w:kern w:val="0"/>
                <w:sz w:val="22"/>
              </w:rPr>
              <w:t>国家编码</w:t>
            </w:r>
          </w:p>
        </w:tc>
        <w:tc>
          <w:tcPr>
            <w:tcW w:w="484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kern w:val="0"/>
                <w:sz w:val="22"/>
              </w:rPr>
            </w:pPr>
            <w:r>
              <w:rPr>
                <w:rFonts w:hint="eastAsia" w:ascii="黑体" w:hAnsi="黑体" w:eastAsia="黑体" w:cs="宋体"/>
                <w:kern w:val="0"/>
                <w:sz w:val="22"/>
              </w:rPr>
              <w:t>违规情形描述</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黑体" w:hAnsi="黑体" w:eastAsia="黑体" w:cs="宋体"/>
                <w:kern w:val="0"/>
                <w:sz w:val="22"/>
              </w:rPr>
            </w:pPr>
            <w:r>
              <w:rPr>
                <w:rFonts w:hint="eastAsia" w:ascii="黑体" w:hAnsi="黑体" w:eastAsia="黑体" w:cs="宋体"/>
                <w:kern w:val="0"/>
                <w:sz w:val="22"/>
              </w:rPr>
              <w:t>序号</w:t>
            </w:r>
          </w:p>
        </w:tc>
      </w:tr>
      <w:tr>
        <w:tblPrEx>
          <w:tblCellMar>
            <w:top w:w="0" w:type="dxa"/>
            <w:left w:w="108" w:type="dxa"/>
            <w:bottom w:w="0" w:type="dxa"/>
            <w:right w:w="108" w:type="dxa"/>
          </w:tblCellMar>
        </w:tblPrEx>
        <w:trPr>
          <w:wBefore w:w="0" w:type="dxa"/>
          <w:wAfter w:w="0" w:type="dxa"/>
          <w:trHeight w:val="1080" w:hRule="atLeast"/>
        </w:trPr>
        <w:tc>
          <w:tcPr>
            <w:tcW w:w="14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重复收费</w:t>
            </w: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重复收费</w:t>
            </w: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hint="eastAsia" w:ascii="宋体" w:hAnsi="宋体" w:eastAsia="宋体" w:cs="宋体"/>
                <w:color w:val="000000"/>
                <w:kern w:val="0"/>
                <w:szCs w:val="21"/>
              </w:rPr>
            </w:pP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重复收费</w:t>
            </w: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胎心监测</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311201026</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003112010260000-311201026</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单胎顺产接生、双胎接生、多胎接生、难产接生等含胎心监测。产妇进入产程开始接生后，单胎顺产接生、双胎接生、多胎接生、难产接生等含胎心监测项目同时收取胎心监测费用，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wBefore w:w="0" w:type="dxa"/>
          <w:wAfter w:w="0" w:type="dxa"/>
          <w:trHeight w:val="1279"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肠吻合术</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331003023</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003310030230000-331003023</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1）肠造瘘还纳术含肠吻合术。肠造瘘还纳术与肠吻合术同时收费，肠吻合术属于违规收费。（2）胃癌根治术含保留胃近端与十二指肠或空肠吻合。仅行胃癌根治术，未同时进行其他肠道吻合手术，却同时收取胃癌根治术与肠吻合术费用，肠吻合术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wBefore w:w="0" w:type="dxa"/>
          <w:wAfter w:w="0" w:type="dxa"/>
          <w:trHeight w:val="1080"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全胃切除术</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脾切除术</w:t>
            </w: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胰尾切除术</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331002008、</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330900018、</w:t>
            </w: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330900018-2</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003310020080000-331002008、</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003309000180000-330900018、</w:t>
            </w: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003309000180200-330900018-2</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贲门癌扩大根治术含全胃、脾、胰尾切除、食管－空肠吻合术。贲门癌扩大根治术同时收取全胃切除术、脾切除术、胰尾切除术等费用，全胃切除术、脾切除术、胰尾切除术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r>
      <w:tr>
        <w:tblPrEx>
          <w:tblCellMar>
            <w:top w:w="0" w:type="dxa"/>
            <w:left w:w="108" w:type="dxa"/>
            <w:bottom w:w="0" w:type="dxa"/>
            <w:right w:w="108" w:type="dxa"/>
          </w:tblCellMar>
        </w:tblPrEx>
        <w:trPr>
          <w:wBefore w:w="0" w:type="dxa"/>
          <w:wAfter w:w="0" w:type="dxa"/>
          <w:trHeight w:val="1080"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疝修补术</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331008001、331008003等</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003310080010000-331008001、</w:t>
            </w: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003310080030000-331008003等</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高位隐睾下降固定术含疝修补术。高位隐睾下降固定术同时收取腹股沟疝修补术、充填式无张力疝修补术等费用，腹股沟疝修补术、充填式无张力疝修补术等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r>
      <w:tr>
        <w:tblPrEx>
          <w:tblCellMar>
            <w:top w:w="0" w:type="dxa"/>
            <w:left w:w="108" w:type="dxa"/>
            <w:bottom w:w="0" w:type="dxa"/>
            <w:right w:w="108" w:type="dxa"/>
          </w:tblCellMar>
        </w:tblPrEx>
        <w:trPr>
          <w:wBefore w:w="0" w:type="dxa"/>
          <w:wAfter w:w="0" w:type="dxa"/>
          <w:trHeight w:val="762"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肾上腺切除术</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330300021</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003303000210000-330300021</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根据《广西医疗服务项目价格（2021年版）》，根治性肾切除术含肾上腺切除、淋巴清扫。根治性肾切除术同时收取肾上腺切除术费用，肾上腺切除术属于违规收费。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r>
      <w:tr>
        <w:tblPrEx>
          <w:tblCellMar>
            <w:top w:w="0" w:type="dxa"/>
            <w:left w:w="108" w:type="dxa"/>
            <w:bottom w:w="0" w:type="dxa"/>
            <w:right w:w="108" w:type="dxa"/>
          </w:tblCellMar>
        </w:tblPrEx>
        <w:trPr>
          <w:wBefore w:w="0" w:type="dxa"/>
          <w:wAfter w:w="0" w:type="dxa"/>
          <w:trHeight w:val="3316"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使用膀胱镜加收</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使用关节镜加收</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使用胸腔镜加收</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使用腹腔镜加收</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使用手术显微镜加收</w:t>
            </w: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使用宫腔镜加收</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300000000/1、</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300000000/2、</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300000000/3、</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300000000/4、</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300000000/5、</w:t>
            </w: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300000000/6等</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453300000010000-300000000/1、</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453300000010000-300000000/2、</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453300000010000-300000000/3、</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453300000010000-300000000/4、</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453300000010000-300000000/5、</w:t>
            </w: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453300000010000-300000000/6等</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除项目名称注明内镜治疗或手术以外，使用各种内镜、手术显微镜在原价基础上可收取使用各种内镜、手术显微镜加收费用。未注明的内镜按项目说明栏执行。但项目名称注明内镜治疗或手术的，如经膀胱镜输尿管支架置入术同时收取使用膀胱镜加收、经腹腔镜肝脓肿引流术同时收取使用腹腔镜加收、经宫腔镜子宫肌瘤切除术同时收取使用宫腔镜加收等，加收项均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r>
      <w:tr>
        <w:tblPrEx>
          <w:tblCellMar>
            <w:top w:w="0" w:type="dxa"/>
            <w:left w:w="108" w:type="dxa"/>
            <w:bottom w:w="0" w:type="dxa"/>
            <w:right w:w="108" w:type="dxa"/>
          </w:tblCellMar>
        </w:tblPrEx>
        <w:trPr>
          <w:wBefore w:w="0" w:type="dxa"/>
          <w:wAfter w:w="0" w:type="dxa"/>
          <w:trHeight w:val="1364"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经耳内镜鼓室探查术</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330502011</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003305020110000-330502011</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根据《广西医疗服务项目价格（2021年版）》，乳突改良根治术含经耳内镜鼓室探查术。两项同时收费，经耳内镜鼓室探查术属于违规收费。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r>
      <w:tr>
        <w:tblPrEx>
          <w:tblCellMar>
            <w:top w:w="0" w:type="dxa"/>
            <w:left w:w="108" w:type="dxa"/>
            <w:bottom w:w="0" w:type="dxa"/>
            <w:right w:w="108" w:type="dxa"/>
          </w:tblCellMar>
        </w:tblPrEx>
        <w:trPr>
          <w:wBefore w:w="0" w:type="dxa"/>
          <w:wAfter w:w="0" w:type="dxa"/>
          <w:trHeight w:val="762"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骨折手法整复术</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420000001</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004200000010000-420000001</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根据《广西医疗服务项目价格（2021年版）》，骨折外固定架固定术、骨折夹板外固定术均含整复固定。以上两项同时收取骨折手法整复术费用，骨折手法整复术属于违规收费。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r>
      <w:tr>
        <w:tblPrEx>
          <w:tblCellMar>
            <w:top w:w="0" w:type="dxa"/>
            <w:left w:w="108" w:type="dxa"/>
            <w:bottom w:w="0" w:type="dxa"/>
            <w:right w:w="108" w:type="dxa"/>
          </w:tblCellMar>
        </w:tblPrEx>
        <w:trPr>
          <w:wBefore w:w="0" w:type="dxa"/>
          <w:wAfter w:w="0" w:type="dxa"/>
          <w:trHeight w:val="1279"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膝关节单纯游离体摘除术（包括肩关节、肘关节、腕关节、髋关节、踝关节游离体）</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331506015</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003315060150000-331506015</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关节清理术含滑膜切除、软骨下骨修整、游离体摘除、骨质增生清除。关节清理术同时收取关节单纯游离体摘除术（包括膝关节、肩关节、肘关节、腕关节、髋关节、踝关节游离体）费用，关节单纯游离体摘除术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r>
      <w:tr>
        <w:tblPrEx>
          <w:tblCellMar>
            <w:top w:w="0" w:type="dxa"/>
            <w:left w:w="108" w:type="dxa"/>
            <w:bottom w:w="0" w:type="dxa"/>
            <w:right w:w="108" w:type="dxa"/>
          </w:tblCellMar>
        </w:tblPrEx>
        <w:trPr>
          <w:wBefore w:w="0" w:type="dxa"/>
          <w:wAfter w:w="0" w:type="dxa"/>
          <w:trHeight w:val="1080"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颅内血肿清除术（包括单纯硬膜外、硬膜下、脑内血肿清除术）</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330201015</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003302010150000-330201015</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颅内动静脉畸形切除术含血肿清除、小于4cm动静脉畸形切除。颅内动静脉畸形切除术同时收取颅内血肿清除术（包括单纯硬膜外、硬膜下、脑内血肿清除术）费用，颅内血肿清除术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CellMar>
            <w:top w:w="0" w:type="dxa"/>
            <w:left w:w="108" w:type="dxa"/>
            <w:bottom w:w="0" w:type="dxa"/>
            <w:right w:w="108" w:type="dxa"/>
          </w:tblCellMar>
        </w:tblPrEx>
        <w:trPr>
          <w:wBefore w:w="0" w:type="dxa"/>
          <w:wAfter w:w="0" w:type="dxa"/>
          <w:trHeight w:val="2827"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经皮冠状动脉腔内成形术(PTCA)</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320500002</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003205000020000-320500002</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经皮冠状动脉内支架置入术(STENT)含为放置冠脉内支架而进行的球囊预扩张和支架打开后的支架内球囊高压扩张及术前的靶血管造影。同一个病灶，经皮冠状动脉内支架置入术同时收取经皮冠状动脉腔内成形术（PTCA）费用，经皮冠状动脉腔内成形术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r>
      <w:tr>
        <w:tblPrEx>
          <w:tblCellMar>
            <w:top w:w="0" w:type="dxa"/>
            <w:left w:w="108" w:type="dxa"/>
            <w:bottom w:w="0" w:type="dxa"/>
            <w:right w:w="108" w:type="dxa"/>
          </w:tblCellMar>
        </w:tblPrEx>
        <w:trPr>
          <w:wBefore w:w="0" w:type="dxa"/>
          <w:wAfter w:w="0" w:type="dxa"/>
          <w:trHeight w:val="1626" w:hRule="atLeast"/>
        </w:trPr>
        <w:tc>
          <w:tcPr>
            <w:tcW w:w="142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分解收费</w:t>
            </w: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椎管内置管术</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330100011</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003301000110000-330100011</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椎管内麻醉包含椎管内置管（即椎管内置管为椎管内麻醉的必经步骤），两项同时收费，椎管内置管术属于违规收费。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r>
      <w:tr>
        <w:tblPrEx>
          <w:tblCellMar>
            <w:top w:w="0" w:type="dxa"/>
            <w:left w:w="108" w:type="dxa"/>
            <w:bottom w:w="0" w:type="dxa"/>
            <w:right w:w="108" w:type="dxa"/>
          </w:tblCellMar>
        </w:tblPrEx>
        <w:trPr>
          <w:wBefore w:w="0" w:type="dxa"/>
          <w:wAfter w:w="0" w:type="dxa"/>
          <w:trHeight w:val="2258" w:hRule="atLeast"/>
        </w:trPr>
        <w:tc>
          <w:tcPr>
            <w:tcW w:w="14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超标准收费</w:t>
            </w: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经皮椎体成形术（包括髓核成形术）</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331501059</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003315010590000-331501059</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根据《广西医疗服务项目价格（2021年版）》，经皮椎体成形术（包括髓核成形术）从第二个（包括第二个）椎体开始应按每增加一椎体加收400元的标准进行收费。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r>
      <w:tr>
        <w:tblPrEx>
          <w:tblCellMar>
            <w:top w:w="0" w:type="dxa"/>
            <w:left w:w="108" w:type="dxa"/>
            <w:bottom w:w="0" w:type="dxa"/>
            <w:right w:w="108" w:type="dxa"/>
          </w:tblCellMar>
        </w:tblPrEx>
        <w:trPr>
          <w:wBefore w:w="0" w:type="dxa"/>
          <w:wAfter w:w="0" w:type="dxa"/>
          <w:trHeight w:val="2082"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静脉输液（包括输血、留置静脉针输液）</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120400006</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001204000060000-120400006</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根据《广西医疗服务项目价格（2021年版）》，静脉输液（包括输血、留置静脉针输液）①使用微量泵或输液泵按小时每泵加收0.5元，连续输液第二组起每组只收2元；②按国家GMP标准洁净级别在百级以上的静脉用药配置中心(PIVAS)进行普通药物和抗生素药物集中配置的静脉输液费加收3元/组，同一患者每日加收最多不超过12元；药品生产企业已配置好的药物不得加收；执行静脉高营养治疗(120400008)和抗肿瘤化学药物配置(120400013)项目的静脉药物配置不得加收。医院实际开展项目为静脉输液(第二组起)2.00元/组，却按静脉输液8.00元/组进行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r>
      <w:tr>
        <w:tblPrEx>
          <w:tblCellMar>
            <w:top w:w="0" w:type="dxa"/>
            <w:left w:w="108" w:type="dxa"/>
            <w:bottom w:w="0" w:type="dxa"/>
            <w:right w:w="108" w:type="dxa"/>
          </w:tblCellMar>
        </w:tblPrEx>
        <w:trPr>
          <w:wBefore w:w="0" w:type="dxa"/>
          <w:wAfter w:w="0" w:type="dxa"/>
          <w:trHeight w:val="2051" w:hRule="atLeast"/>
        </w:trPr>
        <w:tc>
          <w:tcPr>
            <w:tcW w:w="14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虚记收费</w:t>
            </w: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持续呼吸功能检测</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呼吸机辅助呼吸</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静脉注射(微量泵加收)</w:t>
            </w: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指脉氧监测等</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310602005、</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310603001、</w:t>
            </w:r>
          </w:p>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120400002/1、</w:t>
            </w: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310701027等</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003106020050000-310602005、003106030010000-310603001、001204000020000-120400002/1、</w:t>
            </w:r>
          </w:p>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003107010270000-310701027等</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持续呼吸功能检测、呼吸机辅助呼吸、静脉注射(微量泵加收)、指脉氧监测等按小时计费项目，单次住院总收取时间大于实际在院小时数，超出部分属于违规收费。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CellMar>
            <w:top w:w="0" w:type="dxa"/>
            <w:left w:w="108" w:type="dxa"/>
            <w:bottom w:w="0" w:type="dxa"/>
            <w:right w:w="108" w:type="dxa"/>
          </w:tblCellMar>
        </w:tblPrEx>
        <w:trPr>
          <w:wBefore w:w="0" w:type="dxa"/>
          <w:wAfter w:w="0" w:type="dxa"/>
          <w:trHeight w:val="1979"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血透监测</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311000012</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003110000120000-311000012</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血透监测包括血温、血压、血容量、在线尿素监测四个项目，医院在仪器设备无相应功能或未开展相应项目监测时，收取血透监测(血温)、血透监测(血压)、血透监测(血容量)、血透监测(在线尿素监测)的费用属违规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r>
      <w:tr>
        <w:tblPrEx>
          <w:tblCellMar>
            <w:top w:w="0" w:type="dxa"/>
            <w:left w:w="108" w:type="dxa"/>
            <w:bottom w:w="0" w:type="dxa"/>
            <w:right w:w="108" w:type="dxa"/>
          </w:tblCellMar>
        </w:tblPrEx>
        <w:trPr>
          <w:wBefore w:w="0" w:type="dxa"/>
          <w:wAfter w:w="0" w:type="dxa"/>
          <w:trHeight w:val="1697" w:hRule="atLeast"/>
        </w:trPr>
        <w:tc>
          <w:tcPr>
            <w:tcW w:w="14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串换项目</w:t>
            </w: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经纤支镜肺泡灌洗诊疗术</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310605006</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003106050060000-310605006</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医院实际开展经纤支镜治疗（含经纤支镜痰吸引；包括取异物、滴药、止血、化疗），应按照次/项计费，但医院却将其串换为经纤支镜肺泡灌洗诊疗术收费，按照肺段进行收费。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r>
      <w:tr>
        <w:tblPrEx>
          <w:tblCellMar>
            <w:top w:w="0" w:type="dxa"/>
            <w:left w:w="108" w:type="dxa"/>
            <w:bottom w:w="0" w:type="dxa"/>
            <w:right w:w="108" w:type="dxa"/>
          </w:tblCellMar>
        </w:tblPrEx>
        <w:trPr>
          <w:wBefore w:w="0" w:type="dxa"/>
          <w:wAfter w:w="0" w:type="dxa"/>
          <w:trHeight w:val="1113" w:hRule="atLeast"/>
        </w:trPr>
        <w:tc>
          <w:tcPr>
            <w:tcW w:w="1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p>
        </w:tc>
        <w:tc>
          <w:tcPr>
            <w:tcW w:w="2564"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烫熨治疗</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470000013</w:t>
            </w:r>
          </w:p>
        </w:tc>
        <w:tc>
          <w:tcPr>
            <w:tcW w:w="364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004700000130000-470000013</w:t>
            </w:r>
          </w:p>
        </w:tc>
        <w:tc>
          <w:tcPr>
            <w:tcW w:w="484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医院实际开展中药热奄包治疗，却将其串换为烫熨治疗进行收费。</w:t>
            </w:r>
          </w:p>
        </w:tc>
        <w:tc>
          <w:tcPr>
            <w:tcW w:w="7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r>
    </w:tbl>
    <w:p>
      <w:pPr>
        <w:spacing w:line="360" w:lineRule="exact"/>
        <w:jc w:val="left"/>
        <w:rPr>
          <w:rFonts w:ascii="宋体" w:hAnsi="宋体" w:eastAsia="宋体" w:cs="宋体"/>
          <w:color w:val="000000"/>
          <w:kern w:val="0"/>
          <w:szCs w:val="21"/>
        </w:rPr>
        <w:sectPr>
          <w:headerReference r:id="rId3" w:type="default"/>
          <w:footerReference r:id="rId5" w:type="default"/>
          <w:headerReference r:id="rId4" w:type="even"/>
          <w:footerReference r:id="rId6" w:type="even"/>
          <w:pgSz w:w="16838" w:h="11906" w:orient="landscape"/>
          <w:pgMar w:top="1134" w:right="1134" w:bottom="1134" w:left="1134" w:header="851" w:footer="1304" w:gutter="0"/>
          <w:cols w:space="720" w:num="1"/>
          <w:docGrid w:type="lines" w:linePitch="312" w:charSpace="0"/>
        </w:sectPr>
      </w:pPr>
      <w:bookmarkStart w:id="0" w:name="_GoBack"/>
      <w:bookmarkEnd w:id="0"/>
    </w:p>
    <w:p>
      <w:pPr>
        <w:spacing w:line="600" w:lineRule="exact"/>
        <w:ind w:firstLine="0" w:firstLineChars="0"/>
        <w:jc w:val="left"/>
        <w:rPr>
          <w:rFonts w:hint="eastAsia" w:ascii="宋体" w:hAnsi="宋体" w:eastAsia="宋体" w:cs="宋体"/>
          <w:kern w:val="0"/>
          <w:szCs w:val="21"/>
        </w:rPr>
      </w:pPr>
    </w:p>
    <w:sectPr>
      <w:pgSz w:w="11906" w:h="16838"/>
      <w:pgMar w:top="1418" w:right="1304" w:bottom="1418" w:left="1588" w:header="851" w:footer="130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280" w:firstLineChars="100"/>
      <w:jc w:val="right"/>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rPr>
      <w:t>7</w:t>
    </w:r>
    <w:r>
      <w:rPr>
        <w:rFonts w:ascii="宋体" w:hAnsi="宋体"/>
        <w:sz w:val="28"/>
        <w:szCs w:val="28"/>
      </w:rPr>
      <w:fldChar w:fldCharType="end"/>
    </w:r>
    <w:r>
      <w:rPr>
        <w:rStyle w:val="8"/>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280" w:firstLineChars="100"/>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rPr>
      <w:t>8</w:t>
    </w:r>
    <w:r>
      <w:rPr>
        <w:rFonts w:ascii="宋体" w:hAnsi="宋体"/>
        <w:sz w:val="28"/>
        <w:szCs w:val="28"/>
      </w:rPr>
      <w:fldChar w:fldCharType="end"/>
    </w:r>
    <w:r>
      <w:rPr>
        <w:rStyle w:val="8"/>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ODU5OTBjYzg0ODBhNGE3ZmI4OWFmM2JkMzNiMmIifQ=="/>
  </w:docVars>
  <w:rsids>
    <w:rsidRoot w:val="006704FE"/>
    <w:rsid w:val="00002F65"/>
    <w:rsid w:val="0000412D"/>
    <w:rsid w:val="00006C99"/>
    <w:rsid w:val="000101C0"/>
    <w:rsid w:val="00012E99"/>
    <w:rsid w:val="00013DB7"/>
    <w:rsid w:val="00014CD3"/>
    <w:rsid w:val="00016AA7"/>
    <w:rsid w:val="00020479"/>
    <w:rsid w:val="0002094C"/>
    <w:rsid w:val="0002137E"/>
    <w:rsid w:val="000250B5"/>
    <w:rsid w:val="00025C5C"/>
    <w:rsid w:val="00030069"/>
    <w:rsid w:val="000305D4"/>
    <w:rsid w:val="0003435D"/>
    <w:rsid w:val="00041354"/>
    <w:rsid w:val="0004326B"/>
    <w:rsid w:val="000445A0"/>
    <w:rsid w:val="00045E8B"/>
    <w:rsid w:val="000502F1"/>
    <w:rsid w:val="00052615"/>
    <w:rsid w:val="00053BC7"/>
    <w:rsid w:val="00056ED8"/>
    <w:rsid w:val="00060248"/>
    <w:rsid w:val="00060B46"/>
    <w:rsid w:val="0006469E"/>
    <w:rsid w:val="00065D0B"/>
    <w:rsid w:val="00065FCC"/>
    <w:rsid w:val="00066EC0"/>
    <w:rsid w:val="000675B3"/>
    <w:rsid w:val="00073C45"/>
    <w:rsid w:val="000742D9"/>
    <w:rsid w:val="000753CE"/>
    <w:rsid w:val="000813ED"/>
    <w:rsid w:val="00084386"/>
    <w:rsid w:val="00090269"/>
    <w:rsid w:val="00090564"/>
    <w:rsid w:val="000939FE"/>
    <w:rsid w:val="000949D5"/>
    <w:rsid w:val="00096DF1"/>
    <w:rsid w:val="000A0CA3"/>
    <w:rsid w:val="000A18CC"/>
    <w:rsid w:val="000A197C"/>
    <w:rsid w:val="000A5547"/>
    <w:rsid w:val="000A59A2"/>
    <w:rsid w:val="000B0A45"/>
    <w:rsid w:val="000B1CD9"/>
    <w:rsid w:val="000B44D5"/>
    <w:rsid w:val="000C2D7E"/>
    <w:rsid w:val="000C7A4E"/>
    <w:rsid w:val="000D008B"/>
    <w:rsid w:val="000D67AA"/>
    <w:rsid w:val="000D7DA7"/>
    <w:rsid w:val="000E21FF"/>
    <w:rsid w:val="000E333B"/>
    <w:rsid w:val="000E3AE6"/>
    <w:rsid w:val="000F49D2"/>
    <w:rsid w:val="000F5546"/>
    <w:rsid w:val="000F5CE9"/>
    <w:rsid w:val="000F6F88"/>
    <w:rsid w:val="000F7E80"/>
    <w:rsid w:val="001051DD"/>
    <w:rsid w:val="00105C63"/>
    <w:rsid w:val="00106B1F"/>
    <w:rsid w:val="00107843"/>
    <w:rsid w:val="00111788"/>
    <w:rsid w:val="001161C3"/>
    <w:rsid w:val="001224EA"/>
    <w:rsid w:val="001242EE"/>
    <w:rsid w:val="00124DE5"/>
    <w:rsid w:val="00125A56"/>
    <w:rsid w:val="00125E66"/>
    <w:rsid w:val="001273BE"/>
    <w:rsid w:val="00133315"/>
    <w:rsid w:val="00136E5B"/>
    <w:rsid w:val="001379CB"/>
    <w:rsid w:val="00147B60"/>
    <w:rsid w:val="00151CE5"/>
    <w:rsid w:val="00154013"/>
    <w:rsid w:val="00154137"/>
    <w:rsid w:val="001551B1"/>
    <w:rsid w:val="00155418"/>
    <w:rsid w:val="001629CC"/>
    <w:rsid w:val="001635B0"/>
    <w:rsid w:val="001672E9"/>
    <w:rsid w:val="00171430"/>
    <w:rsid w:val="0017231E"/>
    <w:rsid w:val="00175F68"/>
    <w:rsid w:val="0018490B"/>
    <w:rsid w:val="00185726"/>
    <w:rsid w:val="00185BC1"/>
    <w:rsid w:val="001875D3"/>
    <w:rsid w:val="001931B9"/>
    <w:rsid w:val="00194F37"/>
    <w:rsid w:val="0019685F"/>
    <w:rsid w:val="001B1523"/>
    <w:rsid w:val="001B207B"/>
    <w:rsid w:val="001C1919"/>
    <w:rsid w:val="001C373A"/>
    <w:rsid w:val="001D1ACC"/>
    <w:rsid w:val="001D4A02"/>
    <w:rsid w:val="001D4A71"/>
    <w:rsid w:val="001D7A83"/>
    <w:rsid w:val="001E3D72"/>
    <w:rsid w:val="001F02DA"/>
    <w:rsid w:val="001F0F0A"/>
    <w:rsid w:val="001F4D51"/>
    <w:rsid w:val="0020340C"/>
    <w:rsid w:val="00212D42"/>
    <w:rsid w:val="00216749"/>
    <w:rsid w:val="0022019E"/>
    <w:rsid w:val="00222F5F"/>
    <w:rsid w:val="00223A13"/>
    <w:rsid w:val="00230EF1"/>
    <w:rsid w:val="00231C91"/>
    <w:rsid w:val="0023230F"/>
    <w:rsid w:val="00233067"/>
    <w:rsid w:val="0023675E"/>
    <w:rsid w:val="002463E3"/>
    <w:rsid w:val="00250427"/>
    <w:rsid w:val="00250705"/>
    <w:rsid w:val="0025325C"/>
    <w:rsid w:val="002600F0"/>
    <w:rsid w:val="00260A21"/>
    <w:rsid w:val="002624E3"/>
    <w:rsid w:val="00262979"/>
    <w:rsid w:val="00264ED3"/>
    <w:rsid w:val="00270926"/>
    <w:rsid w:val="00271BDE"/>
    <w:rsid w:val="002777AC"/>
    <w:rsid w:val="002912CD"/>
    <w:rsid w:val="002A1C82"/>
    <w:rsid w:val="002A4416"/>
    <w:rsid w:val="002B0B42"/>
    <w:rsid w:val="002B0C74"/>
    <w:rsid w:val="002B1CF6"/>
    <w:rsid w:val="002C111A"/>
    <w:rsid w:val="002C264C"/>
    <w:rsid w:val="002C66B9"/>
    <w:rsid w:val="002C6932"/>
    <w:rsid w:val="002D2CD8"/>
    <w:rsid w:val="002D6136"/>
    <w:rsid w:val="002D689F"/>
    <w:rsid w:val="002E4243"/>
    <w:rsid w:val="002E4267"/>
    <w:rsid w:val="002E5B2C"/>
    <w:rsid w:val="002E715A"/>
    <w:rsid w:val="002E7F0F"/>
    <w:rsid w:val="002F4582"/>
    <w:rsid w:val="002F4981"/>
    <w:rsid w:val="002F52CB"/>
    <w:rsid w:val="002F5DB8"/>
    <w:rsid w:val="002F7B8C"/>
    <w:rsid w:val="00306761"/>
    <w:rsid w:val="003119D6"/>
    <w:rsid w:val="00311C31"/>
    <w:rsid w:val="00312B53"/>
    <w:rsid w:val="003138DB"/>
    <w:rsid w:val="00314D0B"/>
    <w:rsid w:val="00317F03"/>
    <w:rsid w:val="00323CEB"/>
    <w:rsid w:val="0032535C"/>
    <w:rsid w:val="00325CB1"/>
    <w:rsid w:val="0032616B"/>
    <w:rsid w:val="00331B0D"/>
    <w:rsid w:val="003376C9"/>
    <w:rsid w:val="00344B14"/>
    <w:rsid w:val="00345F82"/>
    <w:rsid w:val="00346B6C"/>
    <w:rsid w:val="0035289E"/>
    <w:rsid w:val="00353D6F"/>
    <w:rsid w:val="00355384"/>
    <w:rsid w:val="00357A5C"/>
    <w:rsid w:val="0036048A"/>
    <w:rsid w:val="0036146F"/>
    <w:rsid w:val="003618F0"/>
    <w:rsid w:val="00361EDF"/>
    <w:rsid w:val="00370135"/>
    <w:rsid w:val="0037281A"/>
    <w:rsid w:val="00372B4A"/>
    <w:rsid w:val="00373055"/>
    <w:rsid w:val="00380CC2"/>
    <w:rsid w:val="003825CB"/>
    <w:rsid w:val="003831C7"/>
    <w:rsid w:val="0038325F"/>
    <w:rsid w:val="00385FA8"/>
    <w:rsid w:val="0038794C"/>
    <w:rsid w:val="0039590B"/>
    <w:rsid w:val="00395B9B"/>
    <w:rsid w:val="00397E5A"/>
    <w:rsid w:val="003A4476"/>
    <w:rsid w:val="003A72E7"/>
    <w:rsid w:val="003A74FC"/>
    <w:rsid w:val="003B251C"/>
    <w:rsid w:val="003B6EC4"/>
    <w:rsid w:val="003B711A"/>
    <w:rsid w:val="003C1CE2"/>
    <w:rsid w:val="003C4B11"/>
    <w:rsid w:val="003C613D"/>
    <w:rsid w:val="003D1775"/>
    <w:rsid w:val="003D4F47"/>
    <w:rsid w:val="003D5C71"/>
    <w:rsid w:val="003D797F"/>
    <w:rsid w:val="003E571A"/>
    <w:rsid w:val="003E6496"/>
    <w:rsid w:val="003E68C7"/>
    <w:rsid w:val="003E691D"/>
    <w:rsid w:val="003F13C0"/>
    <w:rsid w:val="003F5552"/>
    <w:rsid w:val="003F6B19"/>
    <w:rsid w:val="003F78FE"/>
    <w:rsid w:val="004001C2"/>
    <w:rsid w:val="00400C88"/>
    <w:rsid w:val="00402BB1"/>
    <w:rsid w:val="00407305"/>
    <w:rsid w:val="0041311A"/>
    <w:rsid w:val="00413680"/>
    <w:rsid w:val="0041545A"/>
    <w:rsid w:val="00416FDC"/>
    <w:rsid w:val="0041795B"/>
    <w:rsid w:val="0042058D"/>
    <w:rsid w:val="00423B00"/>
    <w:rsid w:val="00423BEC"/>
    <w:rsid w:val="00426168"/>
    <w:rsid w:val="00430C96"/>
    <w:rsid w:val="004336AB"/>
    <w:rsid w:val="00443702"/>
    <w:rsid w:val="00446E93"/>
    <w:rsid w:val="0044758D"/>
    <w:rsid w:val="00451B93"/>
    <w:rsid w:val="00462812"/>
    <w:rsid w:val="00463A0B"/>
    <w:rsid w:val="00463C65"/>
    <w:rsid w:val="00465C5D"/>
    <w:rsid w:val="00466827"/>
    <w:rsid w:val="004718BC"/>
    <w:rsid w:val="0047314A"/>
    <w:rsid w:val="00475D0A"/>
    <w:rsid w:val="00477452"/>
    <w:rsid w:val="0048058A"/>
    <w:rsid w:val="00481AF6"/>
    <w:rsid w:val="0048313D"/>
    <w:rsid w:val="004832A1"/>
    <w:rsid w:val="0049005E"/>
    <w:rsid w:val="00494418"/>
    <w:rsid w:val="00496AFC"/>
    <w:rsid w:val="004A2013"/>
    <w:rsid w:val="004A2617"/>
    <w:rsid w:val="004A2C18"/>
    <w:rsid w:val="004A2C39"/>
    <w:rsid w:val="004A5009"/>
    <w:rsid w:val="004A615A"/>
    <w:rsid w:val="004A716B"/>
    <w:rsid w:val="004B0626"/>
    <w:rsid w:val="004B1F26"/>
    <w:rsid w:val="004B3A17"/>
    <w:rsid w:val="004B40C5"/>
    <w:rsid w:val="004C021F"/>
    <w:rsid w:val="004C032D"/>
    <w:rsid w:val="004C460E"/>
    <w:rsid w:val="004D4D5A"/>
    <w:rsid w:val="004D68E2"/>
    <w:rsid w:val="004E26B9"/>
    <w:rsid w:val="004E51DC"/>
    <w:rsid w:val="004E7471"/>
    <w:rsid w:val="004F0267"/>
    <w:rsid w:val="004F1442"/>
    <w:rsid w:val="004F1AC2"/>
    <w:rsid w:val="004F1C16"/>
    <w:rsid w:val="004F49BF"/>
    <w:rsid w:val="004F626C"/>
    <w:rsid w:val="00502309"/>
    <w:rsid w:val="005032B5"/>
    <w:rsid w:val="005038DD"/>
    <w:rsid w:val="00503948"/>
    <w:rsid w:val="005114C6"/>
    <w:rsid w:val="00511FFE"/>
    <w:rsid w:val="0051262F"/>
    <w:rsid w:val="00517018"/>
    <w:rsid w:val="00526146"/>
    <w:rsid w:val="00527799"/>
    <w:rsid w:val="00531739"/>
    <w:rsid w:val="00532CEF"/>
    <w:rsid w:val="005407C7"/>
    <w:rsid w:val="00540DC5"/>
    <w:rsid w:val="005434AD"/>
    <w:rsid w:val="0054434B"/>
    <w:rsid w:val="00544B83"/>
    <w:rsid w:val="005450B1"/>
    <w:rsid w:val="005504A8"/>
    <w:rsid w:val="00556A82"/>
    <w:rsid w:val="00556BE7"/>
    <w:rsid w:val="00560AB0"/>
    <w:rsid w:val="00576F6D"/>
    <w:rsid w:val="00581C32"/>
    <w:rsid w:val="0059283E"/>
    <w:rsid w:val="005931A7"/>
    <w:rsid w:val="0059323C"/>
    <w:rsid w:val="005940C6"/>
    <w:rsid w:val="00597711"/>
    <w:rsid w:val="005A2A90"/>
    <w:rsid w:val="005A4534"/>
    <w:rsid w:val="005B5555"/>
    <w:rsid w:val="005C2354"/>
    <w:rsid w:val="005C27DD"/>
    <w:rsid w:val="005C69D3"/>
    <w:rsid w:val="005D0821"/>
    <w:rsid w:val="005D466D"/>
    <w:rsid w:val="005D4C78"/>
    <w:rsid w:val="005D59C2"/>
    <w:rsid w:val="005D5A58"/>
    <w:rsid w:val="005D726A"/>
    <w:rsid w:val="005F32DF"/>
    <w:rsid w:val="005F6350"/>
    <w:rsid w:val="005F7AE9"/>
    <w:rsid w:val="006011DF"/>
    <w:rsid w:val="00601642"/>
    <w:rsid w:val="00601AAD"/>
    <w:rsid w:val="00601C8D"/>
    <w:rsid w:val="00602DF8"/>
    <w:rsid w:val="00603D9E"/>
    <w:rsid w:val="0060636B"/>
    <w:rsid w:val="00606B90"/>
    <w:rsid w:val="00610004"/>
    <w:rsid w:val="0061184E"/>
    <w:rsid w:val="00613933"/>
    <w:rsid w:val="006142B7"/>
    <w:rsid w:val="00617F29"/>
    <w:rsid w:val="00620F85"/>
    <w:rsid w:val="00624881"/>
    <w:rsid w:val="0062564F"/>
    <w:rsid w:val="00627520"/>
    <w:rsid w:val="00627F02"/>
    <w:rsid w:val="00630023"/>
    <w:rsid w:val="00633746"/>
    <w:rsid w:val="00637EF0"/>
    <w:rsid w:val="00641B4D"/>
    <w:rsid w:val="0064280E"/>
    <w:rsid w:val="00642A19"/>
    <w:rsid w:val="00652A1B"/>
    <w:rsid w:val="0065368B"/>
    <w:rsid w:val="006538D9"/>
    <w:rsid w:val="00653B7C"/>
    <w:rsid w:val="0065430C"/>
    <w:rsid w:val="0065664C"/>
    <w:rsid w:val="00656674"/>
    <w:rsid w:val="0066450B"/>
    <w:rsid w:val="00665310"/>
    <w:rsid w:val="006704FE"/>
    <w:rsid w:val="006710D6"/>
    <w:rsid w:val="006726D1"/>
    <w:rsid w:val="006771BB"/>
    <w:rsid w:val="00677EFB"/>
    <w:rsid w:val="0068345A"/>
    <w:rsid w:val="0068394C"/>
    <w:rsid w:val="0068448D"/>
    <w:rsid w:val="00686AF2"/>
    <w:rsid w:val="0069013B"/>
    <w:rsid w:val="006911EA"/>
    <w:rsid w:val="0069250B"/>
    <w:rsid w:val="0069468D"/>
    <w:rsid w:val="00695428"/>
    <w:rsid w:val="006967DA"/>
    <w:rsid w:val="006A19C2"/>
    <w:rsid w:val="006A4CCE"/>
    <w:rsid w:val="006A51B7"/>
    <w:rsid w:val="006A74B5"/>
    <w:rsid w:val="006B00C5"/>
    <w:rsid w:val="006B00F9"/>
    <w:rsid w:val="006C24D9"/>
    <w:rsid w:val="006C5FA0"/>
    <w:rsid w:val="006C63E6"/>
    <w:rsid w:val="006D255E"/>
    <w:rsid w:val="006D63E5"/>
    <w:rsid w:val="006E1818"/>
    <w:rsid w:val="006F2770"/>
    <w:rsid w:val="00700327"/>
    <w:rsid w:val="007051CB"/>
    <w:rsid w:val="00705D89"/>
    <w:rsid w:val="00711EEC"/>
    <w:rsid w:val="007159A5"/>
    <w:rsid w:val="00717B78"/>
    <w:rsid w:val="007225D1"/>
    <w:rsid w:val="00726F68"/>
    <w:rsid w:val="007338B3"/>
    <w:rsid w:val="00734865"/>
    <w:rsid w:val="00735D53"/>
    <w:rsid w:val="00735F97"/>
    <w:rsid w:val="00736943"/>
    <w:rsid w:val="00741FE4"/>
    <w:rsid w:val="007456E2"/>
    <w:rsid w:val="00752FE3"/>
    <w:rsid w:val="00753AE6"/>
    <w:rsid w:val="007577AB"/>
    <w:rsid w:val="007610F7"/>
    <w:rsid w:val="00765644"/>
    <w:rsid w:val="00766304"/>
    <w:rsid w:val="00767DA5"/>
    <w:rsid w:val="00771EC2"/>
    <w:rsid w:val="00773E6F"/>
    <w:rsid w:val="00773FBB"/>
    <w:rsid w:val="0078013D"/>
    <w:rsid w:val="007803D0"/>
    <w:rsid w:val="00783B52"/>
    <w:rsid w:val="007850F7"/>
    <w:rsid w:val="00785C8B"/>
    <w:rsid w:val="00796FFB"/>
    <w:rsid w:val="007A3473"/>
    <w:rsid w:val="007A70C7"/>
    <w:rsid w:val="007A76B7"/>
    <w:rsid w:val="007B0393"/>
    <w:rsid w:val="007B1501"/>
    <w:rsid w:val="007B52DB"/>
    <w:rsid w:val="007B68EF"/>
    <w:rsid w:val="007B7C38"/>
    <w:rsid w:val="007D0627"/>
    <w:rsid w:val="007D2673"/>
    <w:rsid w:val="007D289A"/>
    <w:rsid w:val="007D4A0D"/>
    <w:rsid w:val="007D4F3E"/>
    <w:rsid w:val="007D72F8"/>
    <w:rsid w:val="007E0165"/>
    <w:rsid w:val="007E1F09"/>
    <w:rsid w:val="007E23F1"/>
    <w:rsid w:val="007F0B80"/>
    <w:rsid w:val="007F4262"/>
    <w:rsid w:val="007F6980"/>
    <w:rsid w:val="00800184"/>
    <w:rsid w:val="0080622D"/>
    <w:rsid w:val="0081030A"/>
    <w:rsid w:val="0081268B"/>
    <w:rsid w:val="00813A04"/>
    <w:rsid w:val="008146C8"/>
    <w:rsid w:val="00815292"/>
    <w:rsid w:val="008171F7"/>
    <w:rsid w:val="0082029E"/>
    <w:rsid w:val="008230AF"/>
    <w:rsid w:val="008265A1"/>
    <w:rsid w:val="00826603"/>
    <w:rsid w:val="00826F23"/>
    <w:rsid w:val="00830381"/>
    <w:rsid w:val="00832972"/>
    <w:rsid w:val="00833535"/>
    <w:rsid w:val="00834086"/>
    <w:rsid w:val="00834FCD"/>
    <w:rsid w:val="00837363"/>
    <w:rsid w:val="00840890"/>
    <w:rsid w:val="0084539D"/>
    <w:rsid w:val="00850420"/>
    <w:rsid w:val="0085095C"/>
    <w:rsid w:val="00852989"/>
    <w:rsid w:val="00857826"/>
    <w:rsid w:val="008604E3"/>
    <w:rsid w:val="00866A25"/>
    <w:rsid w:val="00866B00"/>
    <w:rsid w:val="00870096"/>
    <w:rsid w:val="008743BA"/>
    <w:rsid w:val="0087693C"/>
    <w:rsid w:val="00877CD6"/>
    <w:rsid w:val="0088163D"/>
    <w:rsid w:val="00881A4E"/>
    <w:rsid w:val="008935F8"/>
    <w:rsid w:val="008A1B21"/>
    <w:rsid w:val="008A39C2"/>
    <w:rsid w:val="008B0295"/>
    <w:rsid w:val="008B6844"/>
    <w:rsid w:val="008C0AE9"/>
    <w:rsid w:val="008C1199"/>
    <w:rsid w:val="008C11C0"/>
    <w:rsid w:val="008C5856"/>
    <w:rsid w:val="008C5B28"/>
    <w:rsid w:val="008D0B71"/>
    <w:rsid w:val="008E3380"/>
    <w:rsid w:val="008E561E"/>
    <w:rsid w:val="008E5935"/>
    <w:rsid w:val="008E75D5"/>
    <w:rsid w:val="008F1D6F"/>
    <w:rsid w:val="008F5F7D"/>
    <w:rsid w:val="008F7EA1"/>
    <w:rsid w:val="00902971"/>
    <w:rsid w:val="00903075"/>
    <w:rsid w:val="0090326E"/>
    <w:rsid w:val="00903D27"/>
    <w:rsid w:val="009045F4"/>
    <w:rsid w:val="009077F2"/>
    <w:rsid w:val="00912C1D"/>
    <w:rsid w:val="00914290"/>
    <w:rsid w:val="00915A13"/>
    <w:rsid w:val="00921E14"/>
    <w:rsid w:val="00923DDD"/>
    <w:rsid w:val="00935D54"/>
    <w:rsid w:val="00937597"/>
    <w:rsid w:val="009376EE"/>
    <w:rsid w:val="00942432"/>
    <w:rsid w:val="00946564"/>
    <w:rsid w:val="00947162"/>
    <w:rsid w:val="00950B79"/>
    <w:rsid w:val="00954371"/>
    <w:rsid w:val="009543B6"/>
    <w:rsid w:val="009565B7"/>
    <w:rsid w:val="00962DA1"/>
    <w:rsid w:val="0096404C"/>
    <w:rsid w:val="00964341"/>
    <w:rsid w:val="009649F1"/>
    <w:rsid w:val="00967C1B"/>
    <w:rsid w:val="00971EBC"/>
    <w:rsid w:val="009748BB"/>
    <w:rsid w:val="009779F0"/>
    <w:rsid w:val="0098070B"/>
    <w:rsid w:val="009809A7"/>
    <w:rsid w:val="00982C58"/>
    <w:rsid w:val="0098375C"/>
    <w:rsid w:val="00984AF6"/>
    <w:rsid w:val="0099179C"/>
    <w:rsid w:val="00991E66"/>
    <w:rsid w:val="0099613C"/>
    <w:rsid w:val="0099708B"/>
    <w:rsid w:val="009A6BB1"/>
    <w:rsid w:val="009B552C"/>
    <w:rsid w:val="009C5847"/>
    <w:rsid w:val="009C76B5"/>
    <w:rsid w:val="009D30FF"/>
    <w:rsid w:val="009D4077"/>
    <w:rsid w:val="009D4446"/>
    <w:rsid w:val="009D6833"/>
    <w:rsid w:val="009E2818"/>
    <w:rsid w:val="009E659C"/>
    <w:rsid w:val="009E72C6"/>
    <w:rsid w:val="009F31D8"/>
    <w:rsid w:val="009F3313"/>
    <w:rsid w:val="009F6467"/>
    <w:rsid w:val="00A00730"/>
    <w:rsid w:val="00A00A99"/>
    <w:rsid w:val="00A067C9"/>
    <w:rsid w:val="00A12910"/>
    <w:rsid w:val="00A13242"/>
    <w:rsid w:val="00A15FF2"/>
    <w:rsid w:val="00A17354"/>
    <w:rsid w:val="00A2229F"/>
    <w:rsid w:val="00A23183"/>
    <w:rsid w:val="00A2385E"/>
    <w:rsid w:val="00A258F2"/>
    <w:rsid w:val="00A3038E"/>
    <w:rsid w:val="00A311EA"/>
    <w:rsid w:val="00A31B33"/>
    <w:rsid w:val="00A409A4"/>
    <w:rsid w:val="00A422CB"/>
    <w:rsid w:val="00A44B15"/>
    <w:rsid w:val="00A516B6"/>
    <w:rsid w:val="00A609DB"/>
    <w:rsid w:val="00A62BAC"/>
    <w:rsid w:val="00A65311"/>
    <w:rsid w:val="00A666A6"/>
    <w:rsid w:val="00A705DF"/>
    <w:rsid w:val="00A90C55"/>
    <w:rsid w:val="00A92F57"/>
    <w:rsid w:val="00A94319"/>
    <w:rsid w:val="00A95DCE"/>
    <w:rsid w:val="00A97169"/>
    <w:rsid w:val="00A97B11"/>
    <w:rsid w:val="00AA1249"/>
    <w:rsid w:val="00AA6843"/>
    <w:rsid w:val="00AA7886"/>
    <w:rsid w:val="00AA7F16"/>
    <w:rsid w:val="00AB0FEB"/>
    <w:rsid w:val="00AB174F"/>
    <w:rsid w:val="00AB32EC"/>
    <w:rsid w:val="00AB37E2"/>
    <w:rsid w:val="00AB4975"/>
    <w:rsid w:val="00AC08D4"/>
    <w:rsid w:val="00AC73AC"/>
    <w:rsid w:val="00AD2AA3"/>
    <w:rsid w:val="00AD5C3A"/>
    <w:rsid w:val="00AD5F79"/>
    <w:rsid w:val="00AD78A2"/>
    <w:rsid w:val="00AE0B7D"/>
    <w:rsid w:val="00AE1D45"/>
    <w:rsid w:val="00AE41A5"/>
    <w:rsid w:val="00AE66F4"/>
    <w:rsid w:val="00AE7CDB"/>
    <w:rsid w:val="00B0035F"/>
    <w:rsid w:val="00B030C5"/>
    <w:rsid w:val="00B0376E"/>
    <w:rsid w:val="00B04C64"/>
    <w:rsid w:val="00B070F1"/>
    <w:rsid w:val="00B113E6"/>
    <w:rsid w:val="00B15928"/>
    <w:rsid w:val="00B23215"/>
    <w:rsid w:val="00B270A4"/>
    <w:rsid w:val="00B27E40"/>
    <w:rsid w:val="00B3126B"/>
    <w:rsid w:val="00B323AA"/>
    <w:rsid w:val="00B3659B"/>
    <w:rsid w:val="00B3730E"/>
    <w:rsid w:val="00B377D4"/>
    <w:rsid w:val="00B419E4"/>
    <w:rsid w:val="00B43355"/>
    <w:rsid w:val="00B43926"/>
    <w:rsid w:val="00B5025B"/>
    <w:rsid w:val="00B5096C"/>
    <w:rsid w:val="00B5676C"/>
    <w:rsid w:val="00B61A8B"/>
    <w:rsid w:val="00B62CDD"/>
    <w:rsid w:val="00B66F0E"/>
    <w:rsid w:val="00B67178"/>
    <w:rsid w:val="00B67745"/>
    <w:rsid w:val="00B70260"/>
    <w:rsid w:val="00B7581F"/>
    <w:rsid w:val="00B767F8"/>
    <w:rsid w:val="00B80065"/>
    <w:rsid w:val="00B8172F"/>
    <w:rsid w:val="00B82E92"/>
    <w:rsid w:val="00B82FBC"/>
    <w:rsid w:val="00B83819"/>
    <w:rsid w:val="00B83F18"/>
    <w:rsid w:val="00B92224"/>
    <w:rsid w:val="00B93DA6"/>
    <w:rsid w:val="00B97E03"/>
    <w:rsid w:val="00BA0E76"/>
    <w:rsid w:val="00BA529A"/>
    <w:rsid w:val="00BA5A5F"/>
    <w:rsid w:val="00BA6368"/>
    <w:rsid w:val="00BA7E9A"/>
    <w:rsid w:val="00BB453B"/>
    <w:rsid w:val="00BB4577"/>
    <w:rsid w:val="00BB62B4"/>
    <w:rsid w:val="00BB79A9"/>
    <w:rsid w:val="00BC0B4B"/>
    <w:rsid w:val="00BC0DDE"/>
    <w:rsid w:val="00BC6346"/>
    <w:rsid w:val="00BD3942"/>
    <w:rsid w:val="00BD53F4"/>
    <w:rsid w:val="00BD74F1"/>
    <w:rsid w:val="00BE1A42"/>
    <w:rsid w:val="00BF3D49"/>
    <w:rsid w:val="00BF6C81"/>
    <w:rsid w:val="00C04336"/>
    <w:rsid w:val="00C0587E"/>
    <w:rsid w:val="00C100BD"/>
    <w:rsid w:val="00C116C2"/>
    <w:rsid w:val="00C134EA"/>
    <w:rsid w:val="00C251DF"/>
    <w:rsid w:val="00C27114"/>
    <w:rsid w:val="00C324F6"/>
    <w:rsid w:val="00C36487"/>
    <w:rsid w:val="00C42990"/>
    <w:rsid w:val="00C430F7"/>
    <w:rsid w:val="00C433C2"/>
    <w:rsid w:val="00C520A3"/>
    <w:rsid w:val="00C522D1"/>
    <w:rsid w:val="00C544CA"/>
    <w:rsid w:val="00C62284"/>
    <w:rsid w:val="00C6316E"/>
    <w:rsid w:val="00C65171"/>
    <w:rsid w:val="00C65C2E"/>
    <w:rsid w:val="00C65C9C"/>
    <w:rsid w:val="00C6632D"/>
    <w:rsid w:val="00C70E8C"/>
    <w:rsid w:val="00C71F6D"/>
    <w:rsid w:val="00C74D9B"/>
    <w:rsid w:val="00C75AE6"/>
    <w:rsid w:val="00C76F5B"/>
    <w:rsid w:val="00C87EBF"/>
    <w:rsid w:val="00C87EEA"/>
    <w:rsid w:val="00CA540A"/>
    <w:rsid w:val="00CA5A8D"/>
    <w:rsid w:val="00CB5E49"/>
    <w:rsid w:val="00CB6638"/>
    <w:rsid w:val="00CC63B0"/>
    <w:rsid w:val="00CC6B80"/>
    <w:rsid w:val="00CD5CB7"/>
    <w:rsid w:val="00CD744D"/>
    <w:rsid w:val="00CD75C3"/>
    <w:rsid w:val="00CE16C5"/>
    <w:rsid w:val="00CE1843"/>
    <w:rsid w:val="00CE54E1"/>
    <w:rsid w:val="00CE608C"/>
    <w:rsid w:val="00CE6A69"/>
    <w:rsid w:val="00CF1C27"/>
    <w:rsid w:val="00CF2127"/>
    <w:rsid w:val="00CF43DB"/>
    <w:rsid w:val="00D01879"/>
    <w:rsid w:val="00D0570B"/>
    <w:rsid w:val="00D0763B"/>
    <w:rsid w:val="00D10561"/>
    <w:rsid w:val="00D120B7"/>
    <w:rsid w:val="00D12FA2"/>
    <w:rsid w:val="00D13E46"/>
    <w:rsid w:val="00D14B3A"/>
    <w:rsid w:val="00D1645F"/>
    <w:rsid w:val="00D170BE"/>
    <w:rsid w:val="00D22152"/>
    <w:rsid w:val="00D22532"/>
    <w:rsid w:val="00D22F46"/>
    <w:rsid w:val="00D305F7"/>
    <w:rsid w:val="00D31D2F"/>
    <w:rsid w:val="00D32AD5"/>
    <w:rsid w:val="00D3402C"/>
    <w:rsid w:val="00D355DF"/>
    <w:rsid w:val="00D36CF0"/>
    <w:rsid w:val="00D400EE"/>
    <w:rsid w:val="00D504CA"/>
    <w:rsid w:val="00D50711"/>
    <w:rsid w:val="00D528C5"/>
    <w:rsid w:val="00D54E91"/>
    <w:rsid w:val="00D553B2"/>
    <w:rsid w:val="00D57D0C"/>
    <w:rsid w:val="00D60ABC"/>
    <w:rsid w:val="00D6152E"/>
    <w:rsid w:val="00D632E2"/>
    <w:rsid w:val="00D64BD9"/>
    <w:rsid w:val="00D66B26"/>
    <w:rsid w:val="00D75147"/>
    <w:rsid w:val="00D7597E"/>
    <w:rsid w:val="00D86243"/>
    <w:rsid w:val="00D917B3"/>
    <w:rsid w:val="00D9468E"/>
    <w:rsid w:val="00D9646F"/>
    <w:rsid w:val="00D969D0"/>
    <w:rsid w:val="00D97528"/>
    <w:rsid w:val="00D97877"/>
    <w:rsid w:val="00DA4CE3"/>
    <w:rsid w:val="00DA58D5"/>
    <w:rsid w:val="00DA60E8"/>
    <w:rsid w:val="00DA6AC2"/>
    <w:rsid w:val="00DB2B45"/>
    <w:rsid w:val="00DB4F87"/>
    <w:rsid w:val="00DC1F0E"/>
    <w:rsid w:val="00DC7E3F"/>
    <w:rsid w:val="00DD1549"/>
    <w:rsid w:val="00DD42BA"/>
    <w:rsid w:val="00DD4CF9"/>
    <w:rsid w:val="00DE082A"/>
    <w:rsid w:val="00DE1963"/>
    <w:rsid w:val="00DE1AEB"/>
    <w:rsid w:val="00DE30A2"/>
    <w:rsid w:val="00DE4C8C"/>
    <w:rsid w:val="00DF78F4"/>
    <w:rsid w:val="00E05539"/>
    <w:rsid w:val="00E05818"/>
    <w:rsid w:val="00E111A0"/>
    <w:rsid w:val="00E12487"/>
    <w:rsid w:val="00E14875"/>
    <w:rsid w:val="00E16FA9"/>
    <w:rsid w:val="00E2333C"/>
    <w:rsid w:val="00E248D0"/>
    <w:rsid w:val="00E25E6D"/>
    <w:rsid w:val="00E279BB"/>
    <w:rsid w:val="00E320C9"/>
    <w:rsid w:val="00E32649"/>
    <w:rsid w:val="00E341BA"/>
    <w:rsid w:val="00E350FB"/>
    <w:rsid w:val="00E35ADD"/>
    <w:rsid w:val="00E362F5"/>
    <w:rsid w:val="00E377C8"/>
    <w:rsid w:val="00E40F48"/>
    <w:rsid w:val="00E41B3E"/>
    <w:rsid w:val="00E465A0"/>
    <w:rsid w:val="00E475E6"/>
    <w:rsid w:val="00E47788"/>
    <w:rsid w:val="00E57A87"/>
    <w:rsid w:val="00E57B6D"/>
    <w:rsid w:val="00E60565"/>
    <w:rsid w:val="00E64FF3"/>
    <w:rsid w:val="00E720B7"/>
    <w:rsid w:val="00E73EC6"/>
    <w:rsid w:val="00E75633"/>
    <w:rsid w:val="00E75B21"/>
    <w:rsid w:val="00E7600C"/>
    <w:rsid w:val="00E82EC8"/>
    <w:rsid w:val="00EA2231"/>
    <w:rsid w:val="00EA57D4"/>
    <w:rsid w:val="00EA78CF"/>
    <w:rsid w:val="00EC1856"/>
    <w:rsid w:val="00EC1F57"/>
    <w:rsid w:val="00EC4355"/>
    <w:rsid w:val="00ED1785"/>
    <w:rsid w:val="00ED277E"/>
    <w:rsid w:val="00EE1461"/>
    <w:rsid w:val="00EE5A00"/>
    <w:rsid w:val="00EF1CE1"/>
    <w:rsid w:val="00EF7FE4"/>
    <w:rsid w:val="00F00684"/>
    <w:rsid w:val="00F00AFF"/>
    <w:rsid w:val="00F037DD"/>
    <w:rsid w:val="00F07107"/>
    <w:rsid w:val="00F07BD4"/>
    <w:rsid w:val="00F1230D"/>
    <w:rsid w:val="00F2570C"/>
    <w:rsid w:val="00F26D90"/>
    <w:rsid w:val="00F360BA"/>
    <w:rsid w:val="00F371CB"/>
    <w:rsid w:val="00F4556B"/>
    <w:rsid w:val="00F512BF"/>
    <w:rsid w:val="00F536D6"/>
    <w:rsid w:val="00F54D28"/>
    <w:rsid w:val="00F60D23"/>
    <w:rsid w:val="00F61738"/>
    <w:rsid w:val="00F652A5"/>
    <w:rsid w:val="00F67B23"/>
    <w:rsid w:val="00F71640"/>
    <w:rsid w:val="00F7782F"/>
    <w:rsid w:val="00F77CF1"/>
    <w:rsid w:val="00F82301"/>
    <w:rsid w:val="00F85657"/>
    <w:rsid w:val="00F9049C"/>
    <w:rsid w:val="00F9306F"/>
    <w:rsid w:val="00F93406"/>
    <w:rsid w:val="00F95F1F"/>
    <w:rsid w:val="00F9666F"/>
    <w:rsid w:val="00F97229"/>
    <w:rsid w:val="00F97284"/>
    <w:rsid w:val="00FA1198"/>
    <w:rsid w:val="00FA2A42"/>
    <w:rsid w:val="00FB5F8F"/>
    <w:rsid w:val="00FB76CD"/>
    <w:rsid w:val="00FB78EF"/>
    <w:rsid w:val="00FC47FF"/>
    <w:rsid w:val="00FD046D"/>
    <w:rsid w:val="00FD0697"/>
    <w:rsid w:val="00FE12FF"/>
    <w:rsid w:val="00FE2800"/>
    <w:rsid w:val="00FE3556"/>
    <w:rsid w:val="00FE65B5"/>
    <w:rsid w:val="00FE79DE"/>
    <w:rsid w:val="00FE7EF0"/>
    <w:rsid w:val="00FF1949"/>
    <w:rsid w:val="00FF6317"/>
    <w:rsid w:val="00FF719C"/>
    <w:rsid w:val="3E1E19C7"/>
    <w:rsid w:val="67E148EC"/>
    <w:rsid w:val="75FF13FA"/>
    <w:rsid w:val="7EEF04CD"/>
    <w:rsid w:val="7F141322"/>
    <w:rsid w:val="E5FF3FE6"/>
    <w:rsid w:val="EF9C3027"/>
    <w:rsid w:val="FD8BF4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ody Text Indent"/>
    <w:basedOn w:val="1"/>
    <w:link w:val="9"/>
    <w:uiPriority w:val="0"/>
    <w:pPr>
      <w:spacing w:after="120"/>
      <w:ind w:left="420" w:leftChars="200"/>
    </w:pPr>
    <w:rPr>
      <w:rFonts w:ascii="Times New Roman" w:hAnsi="Times New Roman" w:eastAsia="宋体"/>
      <w:szCs w:val="24"/>
    </w:rPr>
  </w:style>
  <w:style w:type="paragraph" w:styleId="3">
    <w:name w:val="Balloon Text"/>
    <w:basedOn w:val="1"/>
    <w:link w:val="10"/>
    <w:unhideWhenUsed/>
    <w:uiPriority w:val="99"/>
    <w:rPr>
      <w:sz w:val="18"/>
      <w:szCs w:val="18"/>
    </w:rPr>
  </w:style>
  <w:style w:type="paragraph" w:styleId="4">
    <w:name w:val="footer"/>
    <w:basedOn w:val="1"/>
    <w:link w:val="11"/>
    <w:unhideWhenUsed/>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正文文本缩进 Char"/>
    <w:basedOn w:val="7"/>
    <w:link w:val="2"/>
    <w:uiPriority w:val="0"/>
    <w:rPr>
      <w:rFonts w:ascii="Times New Roman" w:hAnsi="Times New Roman" w:eastAsia="宋体"/>
      <w:kern w:val="2"/>
      <w:sz w:val="21"/>
      <w:szCs w:val="24"/>
    </w:rPr>
  </w:style>
  <w:style w:type="character" w:customStyle="1" w:styleId="10">
    <w:name w:val="批注框文本 Char"/>
    <w:basedOn w:val="7"/>
    <w:link w:val="3"/>
    <w:semiHidden/>
    <w:uiPriority w:val="99"/>
    <w:rPr>
      <w:kern w:val="2"/>
      <w:sz w:val="18"/>
      <w:szCs w:val="18"/>
    </w:rPr>
  </w:style>
  <w:style w:type="character" w:customStyle="1" w:styleId="11">
    <w:name w:val="页脚 Char"/>
    <w:basedOn w:val="7"/>
    <w:link w:val="4"/>
    <w:uiPriority w:val="0"/>
    <w:rPr>
      <w:rFonts w:ascii="Calibri" w:hAnsi="Calibri" w:eastAsia="宋体" w:cs="Times New Roman"/>
      <w:sz w:val="18"/>
      <w:szCs w:val="18"/>
    </w:rPr>
  </w:style>
  <w:style w:type="character" w:customStyle="1" w:styleId="12">
    <w:name w:val="页眉 Char"/>
    <w:basedOn w:val="7"/>
    <w:link w:val="5"/>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admin</Company>
  <Pages>6</Pages>
  <Words>2290</Words>
  <Characters>3357</Characters>
  <Lines>29</Lines>
  <Paragraphs>8</Paragraphs>
  <TotalTime>3</TotalTime>
  <ScaleCrop>false</ScaleCrop>
  <LinksUpToDate>false</LinksUpToDate>
  <CharactersWithSpaces>3357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2020-05-19T09:08:00Z</dcterms:created>
  <dc:creator>基金监管处-吴嗣明</dc:creator>
  <cp:lastModifiedBy>田泰亨</cp:lastModifiedBy>
  <cp:lastPrinted>2022-11-30T01:02:00Z</cp:lastPrinted>
  <dcterms:modified xsi:type="dcterms:W3CDTF">2022-12-01T02:51:02Z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16CDAC8BF96E4EA9BAE04189D85A1A62</vt:lpwstr>
  </property>
</Properties>
</file>