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F8CC8">
      <w:pPr>
        <w:keepNext w:val="0"/>
        <w:keepLines w:val="0"/>
        <w:pageBreakBefore w:val="0"/>
        <w:widowControl w:val="0"/>
        <w:kinsoku/>
        <w:wordWrap/>
        <w:overflowPunct/>
        <w:topLinePunct w:val="0"/>
        <w:autoSpaceDE/>
        <w:autoSpaceDN/>
        <w:bidi w:val="0"/>
        <w:adjustRightInd/>
        <w:snapToGrid/>
        <w:spacing w:line="660" w:lineRule="exact"/>
        <w:ind w:left="0" w:left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一次性告知单</w:t>
      </w:r>
    </w:p>
    <w:p w14:paraId="07E3D8F1">
      <w:pPr>
        <w:keepNext w:val="0"/>
        <w:keepLines w:val="0"/>
        <w:pageBreakBefore w:val="0"/>
        <w:widowControl w:val="0"/>
        <w:kinsoku/>
        <w:wordWrap/>
        <w:overflowPunct/>
        <w:topLinePunct w:val="0"/>
        <w:autoSpaceDE/>
        <w:autoSpaceDN/>
        <w:bidi w:val="0"/>
        <w:adjustRightInd/>
        <w:snapToGrid/>
        <w:spacing w:line="660" w:lineRule="exact"/>
        <w:ind w:left="0" w:leftChars="0"/>
        <w:textAlignment w:val="auto"/>
        <w:rPr>
          <w:rFonts w:hint="eastAsia" w:ascii="仿宋_GB2312" w:eastAsia="仿宋_GB2312"/>
          <w:sz w:val="32"/>
          <w:szCs w:val="32"/>
          <w:u w:val="single"/>
        </w:rPr>
      </w:pPr>
    </w:p>
    <w:p w14:paraId="4C10EA70">
      <w:pPr>
        <w:keepNext w:val="0"/>
        <w:keepLines w:val="0"/>
        <w:pageBreakBefore w:val="0"/>
        <w:widowControl w:val="0"/>
        <w:kinsoku/>
        <w:wordWrap/>
        <w:overflowPunct/>
        <w:topLinePunct w:val="0"/>
        <w:autoSpaceDE/>
        <w:autoSpaceDN/>
        <w:bidi w:val="0"/>
        <w:adjustRightInd/>
        <w:snapToGrid/>
        <w:spacing w:line="660" w:lineRule="exact"/>
        <w:ind w:left="0" w:leftChars="0"/>
        <w:textAlignment w:val="auto"/>
        <w:rPr>
          <w:rFonts w:ascii="仿宋_GB2312" w:eastAsia="仿宋_GB2312"/>
          <w:sz w:val="32"/>
          <w:szCs w:val="32"/>
        </w:rPr>
      </w:pP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 xml:space="preserve">    </w:t>
      </w:r>
      <w:r>
        <w:rPr>
          <w:rFonts w:hint="eastAsia" w:ascii="仿宋_GB2312" w:eastAsia="仿宋_GB2312"/>
          <w:sz w:val="32"/>
          <w:szCs w:val="32"/>
        </w:rPr>
        <w:t>同志：</w:t>
      </w:r>
    </w:p>
    <w:p w14:paraId="25E7EB05">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jc w:val="both"/>
        <w:textAlignment w:val="auto"/>
        <w:rPr>
          <w:rFonts w:ascii="仿宋_GB2312" w:eastAsia="仿宋_GB2312"/>
          <w:sz w:val="32"/>
          <w:szCs w:val="32"/>
        </w:rPr>
      </w:pPr>
      <w:r>
        <w:rPr>
          <w:rFonts w:hint="eastAsia" w:ascii="仿宋_GB2312" w:eastAsia="仿宋_GB2312"/>
          <w:sz w:val="32"/>
          <w:szCs w:val="32"/>
        </w:rPr>
        <w:t>你于</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 xml:space="preserve">  </w:t>
      </w:r>
      <w:r>
        <w:rPr>
          <w:rFonts w:hint="eastAsia" w:ascii="仿宋_GB2312" w:eastAsia="仿宋_GB2312"/>
          <w:sz w:val="32"/>
          <w:szCs w:val="32"/>
        </w:rPr>
        <w:t>日办理</w:t>
      </w:r>
      <w:r>
        <w:rPr>
          <w:rFonts w:hint="eastAsia" w:ascii="仿宋_GB2312" w:eastAsia="仿宋_GB2312"/>
          <w:sz w:val="32"/>
          <w:szCs w:val="32"/>
          <w:u w:val="single"/>
          <w:lang w:val="en-US" w:eastAsia="zh-CN"/>
        </w:rPr>
        <w:t xml:space="preserve">  </w:t>
      </w:r>
      <w:r>
        <w:rPr>
          <w:rFonts w:hint="eastAsia" w:ascii="仿宋_GB2312" w:eastAsia="仿宋_GB2312"/>
          <w:sz w:val="32"/>
          <w:szCs w:val="32"/>
          <w:u w:val="single"/>
        </w:rPr>
        <w:t>门诊特殊慢性病定点医疗机构转诊备案</w:t>
      </w:r>
      <w:r>
        <w:rPr>
          <w:rFonts w:hint="eastAsia" w:ascii="仿宋_GB2312" w:eastAsia="仿宋_GB2312"/>
          <w:sz w:val="32"/>
          <w:szCs w:val="32"/>
          <w:u w:val="single"/>
          <w:lang w:val="en-US" w:eastAsia="zh-CN"/>
        </w:rPr>
        <w:t xml:space="preserve">  </w:t>
      </w:r>
      <w:r>
        <w:rPr>
          <w:rFonts w:hint="eastAsia" w:ascii="仿宋_GB2312" w:eastAsia="仿宋_GB2312"/>
          <w:sz w:val="32"/>
          <w:szCs w:val="32"/>
        </w:rPr>
        <w:t>事项时，经审查，申请办理事项的资料不齐全，需要补齐以下材料后方可办理：</w:t>
      </w:r>
    </w:p>
    <w:p w14:paraId="3477A297">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jc w:val="both"/>
        <w:textAlignment w:val="auto"/>
        <w:rPr>
          <w:rFonts w:hint="eastAsia" w:ascii="仿宋_GB2312" w:hAnsi="仿宋_GB2312" w:eastAsia="仿宋_GB2312" w:cs="仿宋_GB2312"/>
          <w:color w:val="000000" w:themeColor="text1"/>
          <w:sz w:val="32"/>
          <w:szCs w:val="32"/>
          <w:u w:val="single"/>
          <w14:textFill>
            <w14:solidFill>
              <w14:schemeClr w14:val="tx1"/>
            </w14:solidFill>
          </w14:textFill>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sz w:val="32"/>
          <w:szCs w:val="32"/>
          <w:u w:val="single"/>
        </w:rPr>
        <w:t>医保电子凭证或有效身份证件或社保卡（</w:t>
      </w:r>
      <w:r>
        <w:rPr>
          <w:rFonts w:hint="eastAsia" w:ascii="仿宋_GB2312" w:hAnsi="仿宋_GB2312" w:eastAsia="仿宋_GB2312" w:cs="仿宋_GB2312"/>
          <w:sz w:val="32"/>
          <w:szCs w:val="32"/>
          <w:u w:val="single"/>
          <w:lang w:val="en-US" w:eastAsia="zh-CN"/>
        </w:rPr>
        <w:t>医保经办窗口提供，其余办理渠道免提供。</w:t>
      </w:r>
      <w:r>
        <w:rPr>
          <w:rFonts w:hint="eastAsia" w:ascii="仿宋_GB2312" w:hAnsi="仿宋_GB2312" w:eastAsia="仿宋_GB2312" w:cs="仿宋_GB2312"/>
          <w:sz w:val="32"/>
          <w:szCs w:val="32"/>
          <w:u w:val="single"/>
        </w:rPr>
        <w:t>委托他人办理的，还需提供代办人身份证</w:t>
      </w:r>
      <w:r>
        <w:rPr>
          <w:rFonts w:hint="eastAsia" w:ascii="仿宋_GB2312" w:hAnsi="仿宋_GB2312" w:eastAsia="仿宋_GB2312" w:cs="仿宋_GB2312"/>
          <w:sz w:val="32"/>
          <w:szCs w:val="32"/>
          <w:u w:val="single"/>
          <w:lang w:eastAsia="zh-CN"/>
        </w:rPr>
        <w:t>和授权委托书</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eastAsia="zh-CN"/>
        </w:rPr>
        <w:t>（原件或复印件）</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p>
    <w:p w14:paraId="33880ABC">
      <w:pPr>
        <w:keepNext w:val="0"/>
        <w:keepLines w:val="0"/>
        <w:pageBreakBefore w:val="0"/>
        <w:widowControl w:val="0"/>
        <w:kinsoku/>
        <w:wordWrap/>
        <w:overflowPunct/>
        <w:topLinePunct w:val="0"/>
        <w:autoSpaceDE/>
        <w:autoSpaceDN/>
        <w:bidi w:val="0"/>
        <w:adjustRightInd/>
        <w:snapToGrid/>
        <w:spacing w:line="660" w:lineRule="exact"/>
        <w:ind w:firstLine="640" w:firstLineChars="200"/>
        <w:jc w:val="both"/>
        <w:textAlignment w:val="auto"/>
        <w:rPr>
          <w:rFonts w:hint="eastAsia" w:ascii="仿宋_GB2312" w:hAnsi="仿宋_GB2312" w:eastAsia="仿宋_GB2312" w:cs="仿宋_GB2312"/>
          <w:color w:val="000000" w:themeColor="text1"/>
          <w:sz w:val="32"/>
          <w:szCs w:val="32"/>
          <w:u w:val="single"/>
          <w14:textFill>
            <w14:solidFill>
              <w14:schemeClr w14:val="tx1"/>
            </w14:solidFill>
          </w14:textFill>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u w:val="single"/>
          <w:lang w:val="en-US" w:eastAsia="zh-CN"/>
        </w:rPr>
        <w:t>《广西壮族自治区基本医疗保险转统筹区外就医证明》（原件）</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p>
    <w:p w14:paraId="5CD39DCF">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jc w:val="both"/>
        <w:textAlignment w:val="auto"/>
        <w:rPr>
          <w:rFonts w:ascii="仿宋_GB2312" w:hAnsi="仿宋_GB2312" w:eastAsia="仿宋_GB2312" w:cs="仿宋_GB2312"/>
          <w:color w:val="000000" w:themeColor="text1"/>
          <w:sz w:val="32"/>
          <w:szCs w:val="32"/>
          <w:u w:val="single"/>
          <w14:textFill>
            <w14:solidFill>
              <w14:schemeClr w14:val="tx1"/>
            </w14:solidFill>
          </w14:textFill>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u w:val="single"/>
          <w:lang w:val="en-US" w:eastAsia="zh-CN"/>
        </w:rPr>
        <w:t xml:space="preserve">就医定点医疗机构出具有门诊继续治疗意见和治疗周期的门诊或住院病历；既往转诊或自行转诊出院后，因同一疾病需要继续门诊治疗的，提供住院病历均需加盖医疗机构相关业务章。（原件）                         </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bookmarkStart w:id="0" w:name="_GoBack"/>
      <w:bookmarkEnd w:id="0"/>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p>
    <w:p w14:paraId="2CC878C4">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jc w:val="both"/>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u w:val="single"/>
        </w:rPr>
        <w:t xml:space="preserve"> 其他：    </w:t>
      </w:r>
      <w:r>
        <w:rPr>
          <w:rFonts w:hint="eastAsia" w:ascii="仿宋_GB2312" w:hAnsi="仿宋_GB2312" w:eastAsia="仿宋_GB2312" w:cs="仿宋_GB2312"/>
          <w:color w:val="000000" w:themeColor="text1"/>
          <w:sz w:val="32"/>
          <w:szCs w:val="32"/>
          <w:u w:val="single"/>
          <w14:textFill>
            <w14:solidFill>
              <w14:schemeClr w14:val="tx1"/>
            </w14:solidFill>
          </w14:textFill>
        </w:rPr>
        <w:t xml:space="preserve">                                       </w:t>
      </w:r>
    </w:p>
    <w:p w14:paraId="51648B04">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备注：需补的材料在项目前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处打“√”。</w:t>
      </w:r>
    </w:p>
    <w:p w14:paraId="5EF59FA0">
      <w:pPr>
        <w:keepNext w:val="0"/>
        <w:keepLines w:val="0"/>
        <w:pageBreakBefore w:val="0"/>
        <w:widowControl w:val="0"/>
        <w:kinsoku/>
        <w:wordWrap/>
        <w:overflowPunct/>
        <w:topLinePunct w:val="0"/>
        <w:autoSpaceDE/>
        <w:autoSpaceDN/>
        <w:bidi w:val="0"/>
        <w:adjustRightInd/>
        <w:snapToGrid/>
        <w:spacing w:line="660" w:lineRule="exact"/>
        <w:ind w:left="0" w:leftChars="0" w:firstLine="640" w:firstLineChars="200"/>
        <w:textAlignment w:val="auto"/>
        <w:rPr>
          <w:rFonts w:ascii="仿宋_GB2312" w:eastAsia="仿宋_GB2312"/>
          <w:sz w:val="32"/>
          <w:szCs w:val="32"/>
        </w:rPr>
      </w:pPr>
    </w:p>
    <w:p w14:paraId="742BDBC4">
      <w:pPr>
        <w:keepNext w:val="0"/>
        <w:keepLines w:val="0"/>
        <w:pageBreakBefore w:val="0"/>
        <w:widowControl w:val="0"/>
        <w:kinsoku/>
        <w:wordWrap/>
        <w:overflowPunct/>
        <w:topLinePunct w:val="0"/>
        <w:autoSpaceDE/>
        <w:autoSpaceDN/>
        <w:bidi w:val="0"/>
        <w:adjustRightInd/>
        <w:snapToGrid/>
        <w:spacing w:line="660" w:lineRule="exact"/>
        <w:ind w:left="0" w:leftChars="0"/>
        <w:textAlignment w:val="auto"/>
        <w:rPr>
          <w:rFonts w:ascii="仿宋_GB2312" w:eastAsia="仿宋_GB2312"/>
          <w:sz w:val="32"/>
          <w:szCs w:val="32"/>
        </w:rPr>
      </w:pPr>
    </w:p>
    <w:p w14:paraId="04A6AF6B">
      <w:pPr>
        <w:keepNext w:val="0"/>
        <w:keepLines w:val="0"/>
        <w:pageBreakBefore w:val="0"/>
        <w:widowControl w:val="0"/>
        <w:kinsoku/>
        <w:wordWrap/>
        <w:overflowPunct/>
        <w:topLinePunct w:val="0"/>
        <w:autoSpaceDE/>
        <w:autoSpaceDN/>
        <w:bidi w:val="0"/>
        <w:adjustRightInd/>
        <w:snapToGrid/>
        <w:spacing w:line="660" w:lineRule="exact"/>
        <w:ind w:left="0" w:leftChars="0" w:firstLine="320" w:firstLineChars="100"/>
        <w:textAlignment w:val="auto"/>
        <w:rPr>
          <w:rFonts w:ascii="仿宋_GB2312" w:eastAsia="仿宋_GB2312"/>
          <w:sz w:val="32"/>
          <w:szCs w:val="32"/>
        </w:rPr>
      </w:pPr>
      <w:r>
        <w:rPr>
          <w:rFonts w:hint="eastAsia" w:ascii="仿宋_GB2312" w:eastAsia="仿宋_GB2312"/>
          <w:sz w:val="32"/>
          <w:szCs w:val="32"/>
        </w:rPr>
        <w:t>签收人：     （签字）</w:t>
      </w:r>
      <w:r>
        <w:rPr>
          <w:rFonts w:hint="eastAsia" w:ascii="仿宋_GB2312" w:eastAsia="仿宋_GB2312"/>
          <w:sz w:val="32"/>
          <w:szCs w:val="32"/>
        </w:rPr>
        <w:tab/>
      </w:r>
      <w:r>
        <w:rPr>
          <w:rFonts w:hint="eastAsia" w:ascii="仿宋_GB2312" w:eastAsia="仿宋_GB2312"/>
          <w:sz w:val="32"/>
          <w:szCs w:val="32"/>
        </w:rPr>
        <w:tab/>
      </w:r>
      <w:r>
        <w:rPr>
          <w:rFonts w:ascii="仿宋_GB2312" w:eastAsia="仿宋_GB2312"/>
          <w:sz w:val="32"/>
          <w:szCs w:val="32"/>
        </w:rPr>
        <w:t xml:space="preserve">      </w:t>
      </w:r>
      <w:r>
        <w:rPr>
          <w:rFonts w:hint="eastAsia" w:ascii="仿宋_GB2312" w:eastAsia="仿宋_GB2312"/>
          <w:sz w:val="32"/>
          <w:szCs w:val="32"/>
        </w:rPr>
        <w:t>经办人：       （签字）</w:t>
      </w:r>
    </w:p>
    <w:p w14:paraId="19646B6D">
      <w:pPr>
        <w:keepNext w:val="0"/>
        <w:keepLines w:val="0"/>
        <w:pageBreakBefore w:val="0"/>
        <w:widowControl w:val="0"/>
        <w:kinsoku/>
        <w:wordWrap/>
        <w:overflowPunct/>
        <w:topLinePunct w:val="0"/>
        <w:autoSpaceDE/>
        <w:autoSpaceDN/>
        <w:bidi w:val="0"/>
        <w:adjustRightInd/>
        <w:snapToGrid/>
        <w:spacing w:line="660" w:lineRule="exact"/>
        <w:ind w:left="0" w:leftChars="0" w:firstLine="3200" w:firstLineChars="1000"/>
        <w:textAlignment w:val="auto"/>
        <w:rPr>
          <w:rFonts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年    月   日</w:t>
      </w:r>
    </w:p>
    <w:p w14:paraId="3FAFD7E3"/>
    <w:p w14:paraId="4DE0A2AA"/>
    <w:sectPr>
      <w:pgSz w:w="11906" w:h="16838"/>
      <w:pgMar w:top="1418" w:right="1304"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GFkZDY4NDQ0ZDA2ZGViYzFmZmE4MjllNDJjYmEifQ=="/>
  </w:docVars>
  <w:rsids>
    <w:rsidRoot w:val="00000000"/>
    <w:rsid w:val="070C2669"/>
    <w:rsid w:val="079E4057"/>
    <w:rsid w:val="09C46CC3"/>
    <w:rsid w:val="0EF0475B"/>
    <w:rsid w:val="15E419B8"/>
    <w:rsid w:val="1C7F579D"/>
    <w:rsid w:val="1E050F83"/>
    <w:rsid w:val="20C84A0E"/>
    <w:rsid w:val="24855D52"/>
    <w:rsid w:val="26DA2FB6"/>
    <w:rsid w:val="29A025C6"/>
    <w:rsid w:val="32A70B5C"/>
    <w:rsid w:val="3BA12FF7"/>
    <w:rsid w:val="3D0749A9"/>
    <w:rsid w:val="44D37667"/>
    <w:rsid w:val="47DE6531"/>
    <w:rsid w:val="4CC35749"/>
    <w:rsid w:val="4FF797F6"/>
    <w:rsid w:val="5D1C654D"/>
    <w:rsid w:val="7FF7B944"/>
    <w:rsid w:val="EAF48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292</Words>
  <Characters>292</Characters>
  <Lines>0</Lines>
  <Paragraphs>0</Paragraphs>
  <TotalTime>0</TotalTime>
  <ScaleCrop>false</ScaleCrop>
  <LinksUpToDate>false</LinksUpToDate>
  <CharactersWithSpaces>537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2022-11-08T00:41:00Z</dcterms:created>
  <dc:creator>Lenovo</dc:creator>
  <cp:lastModifiedBy>微信用户</cp:lastModifiedBy>
  <dcterms:modified xsi:type="dcterms:W3CDTF">2025-12-01T05:38:56Z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578D7A81758348529136FA8C9D73F2E9_13</vt:lpwstr>
  </property>
  <property fmtid="{D5CDD505-2E9C-101B-9397-08002B2CF9AE}" pid="4" name="KSOTemplateDocerSaveRecord">
    <vt:lpwstr>eyJoZGlkIjoiNzcyZmY5NmVkMDE5MTEzYjU5ZTg1N2NjNzNiNzZlZTIiLCJ1c2VySWQiOiIxMzU2NTE3MzUyIn0=</vt:lpwstr>
  </property>
</Properties>
</file>