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ascii="黑体" w:hAnsi="黑体" w:eastAsia="黑体" w:cs="黑体"/>
          <w:bCs/>
          <w:color w:val="000000"/>
          <w:sz w:val="32"/>
          <w:szCs w:val="32"/>
        </w:rPr>
      </w:pPr>
      <w:r>
        <w:rPr>
          <w:rFonts w:hint="eastAsia" w:ascii="黑体" w:hAnsi="黑体" w:eastAsia="黑体" w:cs="黑体"/>
          <w:bCs/>
          <w:color w:val="000000"/>
          <w:sz w:val="32"/>
          <w:szCs w:val="32"/>
        </w:rPr>
        <w:t>附</w:t>
      </w:r>
      <w:r>
        <w:rPr>
          <w:rFonts w:hint="eastAsia" w:ascii="黑体" w:hAnsi="黑体" w:eastAsia="黑体" w:cs="黑体"/>
          <w:bCs/>
          <w:color w:val="000000"/>
          <w:sz w:val="32"/>
          <w:szCs w:val="32"/>
          <w:lang w:val="en-US" w:eastAsia="zh-CN"/>
        </w:rPr>
        <w:t>件</w:t>
      </w:r>
      <w:r>
        <w:rPr>
          <w:rFonts w:hint="eastAsia" w:ascii="黑体" w:hAnsi="黑体" w:eastAsia="黑体" w:cs="黑体"/>
          <w:bCs/>
          <w:color w:val="000000"/>
          <w:sz w:val="32"/>
          <w:szCs w:val="32"/>
        </w:rPr>
        <w:t>3</w:t>
      </w:r>
    </w:p>
    <w:p>
      <w:pPr>
        <w:adjustRightInd w:val="0"/>
        <w:snapToGrid w:val="0"/>
        <w:spacing w:line="620" w:lineRule="exact"/>
        <w:ind w:firstLine="642" w:firstLineChars="200"/>
        <w:rPr>
          <w:rFonts w:ascii="方正小标宋简体" w:hAnsi="方正小标宋简体" w:eastAsia="方正小标宋简体" w:cs="方正小标宋简体"/>
          <w:b/>
          <w:color w:val="000000"/>
          <w:sz w:val="32"/>
          <w:szCs w:val="32"/>
        </w:rPr>
      </w:pPr>
    </w:p>
    <w:p>
      <w:pPr>
        <w:adjustRightInd w:val="0"/>
        <w:snapToGrid w:val="0"/>
        <w:spacing w:line="620" w:lineRule="exact"/>
        <w:jc w:val="center"/>
        <w:rPr>
          <w:rFonts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《广西医疗服务价格项目目录（2024年版）》</w:t>
      </w:r>
    </w:p>
    <w:p>
      <w:pPr>
        <w:adjustRightInd w:val="0"/>
        <w:snapToGrid w:val="0"/>
        <w:spacing w:line="620" w:lineRule="exact"/>
        <w:jc w:val="center"/>
        <w:rPr>
          <w:rFonts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使用说明</w:t>
      </w:r>
    </w:p>
    <w:p>
      <w:pPr>
        <w:adjustRightInd w:val="0"/>
        <w:snapToGrid w:val="0"/>
        <w:spacing w:line="620" w:lineRule="exact"/>
        <w:ind w:firstLine="640" w:firstLineChars="200"/>
        <w:rPr>
          <w:rFonts w:ascii="Times New Roman" w:hAnsi="Times New Roman" w:eastAsia="方正仿宋_GBK"/>
          <w:color w:val="000000"/>
          <w:sz w:val="32"/>
          <w:szCs w:val="32"/>
        </w:rPr>
      </w:pP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《广西医疗服务价格项目目录（2024年版）》中的医疗服务价格项目，是对《广西医疗服务项目价格（2021年版）》以来，我区公立医疗卫生机构开展的现行医疗服务价格项目的统一整理和规范。</w:t>
      </w:r>
    </w:p>
    <w:p>
      <w:pPr>
        <w:adjustRightInd w:val="0"/>
        <w:snapToGrid w:val="0"/>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一、项目分类</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广西医疗服务价格项目目录</w:t>
      </w:r>
      <w:r>
        <w:rPr>
          <w:rFonts w:hint="eastAsia" w:ascii="仿宋_GB2312" w:hAnsi="仿宋_GB2312" w:eastAsia="仿宋_GB2312" w:cs="仿宋_GB2312"/>
          <w:color w:val="000000"/>
          <w:sz w:val="32"/>
          <w:szCs w:val="32"/>
        </w:rPr>
        <w:t>（2024年版）》所列医疗服务价格项目共分四大类，采用五级分类法。以四大类作为第1级，分别为综合医疗服务类、医技诊疗类、临床诊疗类、中医及民族医诊疗类。每类下可设第2至5级分类，第5级为医疗服务价格终极项目。其中临床诊疗类中“临床各系统诊疗”和“手术治疗”两类参照国际疾病分类（ICD-9-CM）的格式，按解剖部位从上至下，由近端到远端，由浅层到深层原则排序。</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广西医疗服务价格项目目录</w:t>
      </w:r>
      <w:r>
        <w:rPr>
          <w:rFonts w:hint="eastAsia" w:ascii="仿宋_GB2312" w:hAnsi="仿宋_GB2312" w:eastAsia="仿宋_GB2312" w:cs="仿宋_GB2312"/>
          <w:color w:val="000000"/>
          <w:sz w:val="32"/>
          <w:szCs w:val="32"/>
        </w:rPr>
        <w:t>（2024年版）》按5级统计，</w:t>
      </w:r>
      <w:r>
        <w:rPr>
          <w:rFonts w:hint="eastAsia" w:ascii="仿宋_GB2312" w:hAnsi="仿宋_GB2312" w:eastAsia="仿宋_GB2312" w:cs="仿宋_GB2312"/>
          <w:sz w:val="32"/>
          <w:szCs w:val="32"/>
        </w:rPr>
        <w:t>项目数量统计，以同时具备国家编码及价格水平为准计算条数，</w:t>
      </w:r>
      <w:r>
        <w:rPr>
          <w:rFonts w:hint="eastAsia" w:ascii="仿宋_GB2312" w:hAnsi="仿宋_GB2312" w:eastAsia="仿宋_GB2312" w:cs="仿宋_GB2312"/>
          <w:color w:val="000000"/>
          <w:sz w:val="32"/>
          <w:szCs w:val="32"/>
        </w:rPr>
        <w:t>共计</w:t>
      </w:r>
      <w:r>
        <w:rPr>
          <w:rFonts w:hint="eastAsia" w:ascii="仿宋_GB2312" w:hAnsi="仿宋_GB2312" w:eastAsia="仿宋_GB2312" w:cs="仿宋_GB2312"/>
          <w:sz w:val="32"/>
          <w:szCs w:val="32"/>
        </w:rPr>
        <w:t>14880项。</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项目分类的基本架构举例如下：</w:t>
      </w:r>
    </w:p>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br w:type="page"/>
      </w:r>
      <w:r>
        <w:rPr>
          <w:rFonts w:hint="eastAsia" w:ascii="仿宋_GB2312" w:hAnsi="仿宋_GB2312" w:eastAsia="仿宋_GB2312" w:cs="仿宋_GB2312"/>
          <w:b/>
          <w:bCs/>
          <w:color w:val="000000"/>
          <w:kern w:val="0"/>
          <w:sz w:val="32"/>
          <w:szCs w:val="32"/>
        </w:rPr>
        <w:t>医疗服务价格项目</w:t>
      </w:r>
    </w:p>
    <w:tbl>
      <w:tblPr>
        <w:tblStyle w:val="5"/>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948"/>
        <w:gridCol w:w="779"/>
        <w:gridCol w:w="780"/>
        <w:gridCol w:w="447"/>
        <w:gridCol w:w="333"/>
        <w:gridCol w:w="78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9" w:type="dxa"/>
            <w:gridSpan w:val="5"/>
            <w:tcBorders>
              <w:top w:val="nil"/>
              <w:left w:val="nil"/>
              <w:bottom w:val="nil"/>
              <w:right w:val="single" w:color="auto" w:sz="4" w:space="0"/>
            </w:tcBorders>
          </w:tcPr>
          <w:p>
            <w:pPr>
              <w:widowControl/>
              <w:spacing w:line="360" w:lineRule="exact"/>
              <w:jc w:val="center"/>
              <w:rPr>
                <w:rFonts w:ascii="仿宋_GB2312" w:hAnsi="仿宋_GB2312" w:eastAsia="仿宋_GB2312" w:cs="仿宋_GB2312"/>
                <w:b/>
                <w:bCs/>
                <w:color w:val="000000"/>
                <w:kern w:val="0"/>
                <w:sz w:val="32"/>
                <w:szCs w:val="32"/>
              </w:rPr>
            </w:pPr>
          </w:p>
        </w:tc>
        <w:tc>
          <w:tcPr>
            <w:tcW w:w="3903" w:type="dxa"/>
            <w:gridSpan w:val="4"/>
            <w:tcBorders>
              <w:top w:val="nil"/>
              <w:left w:val="nil"/>
              <w:bottom w:val="nil"/>
              <w:right w:val="nil"/>
            </w:tcBorders>
          </w:tcPr>
          <w:p>
            <w:pPr>
              <w:widowControl/>
              <w:spacing w:line="360" w:lineRule="exact"/>
              <w:jc w:val="center"/>
              <w:rPr>
                <w:rFonts w:ascii="仿宋_GB2312" w:hAnsi="仿宋_GB2312" w:eastAsia="仿宋_GB2312" w:cs="仿宋_GB2312"/>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45" w:type="dxa"/>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948" w:type="dxa"/>
            <w:tcBorders>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79" w:type="dxa"/>
            <w:tcBorders>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tcBorders>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gridSpan w:val="2"/>
            <w:tcBorders>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tcBorders>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395" w:type="dxa"/>
            <w:tcBorders>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1395" w:type="dxa"/>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综合医疗</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服务类</w:t>
            </w:r>
          </w:p>
        </w:tc>
        <w:tc>
          <w:tcPr>
            <w:tcW w:w="1559" w:type="dxa"/>
            <w:gridSpan w:val="2"/>
            <w:tcBorders>
              <w:top w:val="nil"/>
              <w:left w:val="nil"/>
              <w:bottom w:val="nil"/>
              <w:right w:val="nil"/>
            </w:tcBorders>
          </w:tcPr>
          <w:p>
            <w:pPr>
              <w:widowControl/>
              <w:spacing w:line="360" w:lineRule="exact"/>
              <w:ind w:left="639" w:leftChars="76" w:hanging="480" w:hangingChars="150"/>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医技诊疗类</w:t>
            </w:r>
          </w:p>
        </w:tc>
        <w:tc>
          <w:tcPr>
            <w:tcW w:w="1560"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临床诊疗类</w:t>
            </w:r>
          </w:p>
        </w:tc>
        <w:tc>
          <w:tcPr>
            <w:tcW w:w="2790"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中医及民族医</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诊疗类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3"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59"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60" w:type="dxa"/>
            <w:gridSpan w:val="3"/>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2790"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4（一级分类）</w:t>
            </w:r>
          </w:p>
        </w:tc>
      </w:tr>
    </w:tbl>
    <w:p>
      <w:pPr>
        <w:widowControl/>
        <w:spacing w:line="200" w:lineRule="exact"/>
        <w:jc w:val="center"/>
        <w:rPr>
          <w:rFonts w:ascii="仿宋_GB2312" w:hAnsi="仿宋_GB2312" w:eastAsia="仿宋_GB2312" w:cs="仿宋_GB2312"/>
          <w:bCs/>
          <w:color w:val="000000"/>
          <w:kern w:val="0"/>
          <w:sz w:val="32"/>
          <w:szCs w:val="32"/>
        </w:rPr>
      </w:pPr>
    </w:p>
    <w:tbl>
      <w:tblPr>
        <w:tblStyle w:val="5"/>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918"/>
        <w:gridCol w:w="1107"/>
        <w:gridCol w:w="1107"/>
        <w:gridCol w:w="40"/>
        <w:gridCol w:w="607"/>
        <w:gridCol w:w="64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0" w:type="dxa"/>
            <w:gridSpan w:val="5"/>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4090" w:type="dxa"/>
            <w:gridSpan w:val="4"/>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nil"/>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918"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107"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107"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47" w:type="dxa"/>
            <w:gridSpan w:val="2"/>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48"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417"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418" w:type="dxa"/>
            <w:tcBorders>
              <w:top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临床各系统诊疗</w:t>
            </w:r>
          </w:p>
        </w:tc>
        <w:tc>
          <w:tcPr>
            <w:tcW w:w="2214"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经血管介入性治疗</w:t>
            </w:r>
          </w:p>
        </w:tc>
        <w:tc>
          <w:tcPr>
            <w:tcW w:w="1295"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手术治疗</w:t>
            </w:r>
          </w:p>
        </w:tc>
        <w:tc>
          <w:tcPr>
            <w:tcW w:w="2835"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物理治疗与康复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6"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p>
        </w:tc>
        <w:tc>
          <w:tcPr>
            <w:tcW w:w="2214"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w:t>
            </w:r>
          </w:p>
        </w:tc>
        <w:tc>
          <w:tcPr>
            <w:tcW w:w="1295" w:type="dxa"/>
            <w:gridSpan w:val="3"/>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w:t>
            </w:r>
          </w:p>
        </w:tc>
        <w:tc>
          <w:tcPr>
            <w:tcW w:w="2835"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34（二级分类）</w:t>
            </w:r>
          </w:p>
        </w:tc>
      </w:tr>
    </w:tbl>
    <w:p>
      <w:pPr>
        <w:widowControl/>
        <w:spacing w:line="200" w:lineRule="exact"/>
        <w:jc w:val="center"/>
        <w:rPr>
          <w:rFonts w:ascii="仿宋_GB2312" w:hAnsi="仿宋_GB2312" w:eastAsia="仿宋_GB2312" w:cs="仿宋_GB2312"/>
          <w:color w:val="000000"/>
          <w:kern w:val="0"/>
          <w:sz w:val="32"/>
          <w:szCs w:val="32"/>
        </w:rPr>
      </w:pPr>
    </w:p>
    <w:tbl>
      <w:tblPr>
        <w:tblStyle w:val="5"/>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
        <w:gridCol w:w="355"/>
        <w:gridCol w:w="850"/>
        <w:gridCol w:w="851"/>
        <w:gridCol w:w="921"/>
        <w:gridCol w:w="901"/>
        <w:gridCol w:w="20"/>
        <w:gridCol w:w="663"/>
        <w:gridCol w:w="663"/>
        <w:gridCol w:w="712"/>
        <w:gridCol w:w="712"/>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32" w:type="dxa"/>
            <w:gridSpan w:val="6"/>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4232" w:type="dxa"/>
            <w:gridSpan w:val="7"/>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4" w:type="dxa"/>
            <w:tcBorders>
              <w:top w:val="nil"/>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355"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850"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851"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921"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921" w:type="dxa"/>
            <w:gridSpan w:val="2"/>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63"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63"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12"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12"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31"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31" w:type="dxa"/>
            <w:tcBorders>
              <w:top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麻醉</w:t>
            </w:r>
          </w:p>
        </w:tc>
        <w:tc>
          <w:tcPr>
            <w:tcW w:w="1701"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神经系统</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842"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内分泌系统手术</w:t>
            </w:r>
          </w:p>
        </w:tc>
        <w:tc>
          <w:tcPr>
            <w:tcW w:w="1326"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眼部</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手术</w:t>
            </w:r>
          </w:p>
        </w:tc>
        <w:tc>
          <w:tcPr>
            <w:tcW w:w="1424"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耳部</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462"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3301</w:t>
            </w:r>
          </w:p>
        </w:tc>
        <w:tc>
          <w:tcPr>
            <w:tcW w:w="1701"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3302</w:t>
            </w:r>
          </w:p>
        </w:tc>
        <w:tc>
          <w:tcPr>
            <w:tcW w:w="1842" w:type="dxa"/>
            <w:gridSpan w:val="3"/>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3303</w:t>
            </w:r>
          </w:p>
        </w:tc>
        <w:tc>
          <w:tcPr>
            <w:tcW w:w="1326"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w:t>
            </w:r>
          </w:p>
        </w:tc>
        <w:tc>
          <w:tcPr>
            <w:tcW w:w="2886" w:type="dxa"/>
            <w:gridSpan w:val="4"/>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3305  ……（三级分类）</w:t>
            </w:r>
          </w:p>
        </w:tc>
      </w:tr>
    </w:tbl>
    <w:p>
      <w:pPr>
        <w:widowControl/>
        <w:spacing w:line="200" w:lineRule="exact"/>
        <w:jc w:val="center"/>
        <w:rPr>
          <w:rFonts w:ascii="仿宋_GB2312" w:hAnsi="仿宋_GB2312" w:eastAsia="仿宋_GB2312" w:cs="仿宋_GB2312"/>
          <w:color w:val="000000"/>
          <w:kern w:val="0"/>
          <w:sz w:val="32"/>
          <w:szCs w:val="32"/>
        </w:rPr>
      </w:pPr>
    </w:p>
    <w:tbl>
      <w:tblPr>
        <w:tblStyle w:val="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737"/>
        <w:gridCol w:w="595"/>
        <w:gridCol w:w="595"/>
        <w:gridCol w:w="708"/>
        <w:gridCol w:w="709"/>
        <w:gridCol w:w="779"/>
        <w:gridCol w:w="668"/>
        <w:gridCol w:w="112"/>
        <w:gridCol w:w="1205"/>
        <w:gridCol w:w="1206"/>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19" w:type="dxa"/>
            <w:gridSpan w:val="8"/>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3798" w:type="dxa"/>
            <w:gridSpan w:val="5"/>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8" w:type="dxa"/>
            <w:tcBorders>
              <w:top w:val="nil"/>
              <w:left w:val="nil"/>
              <w:bottom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737" w:type="dxa"/>
            <w:tcBorders>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595" w:type="dxa"/>
            <w:tcBorders>
              <w:left w:val="nil"/>
              <w:bottom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595" w:type="dxa"/>
            <w:tcBorders>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708" w:type="dxa"/>
            <w:tcBorders>
              <w:left w:val="nil"/>
              <w:bottom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709" w:type="dxa"/>
            <w:tcBorders>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779" w:type="dxa"/>
            <w:tcBorders>
              <w:left w:val="nil"/>
              <w:bottom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780" w:type="dxa"/>
            <w:gridSpan w:val="2"/>
            <w:tcBorders>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1205" w:type="dxa"/>
            <w:tcBorders>
              <w:left w:val="nil"/>
              <w:bottom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1206" w:type="dxa"/>
            <w:tcBorders>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637" w:type="dxa"/>
            <w:tcBorders>
              <w:left w:val="nil"/>
              <w:bottom w:val="nil"/>
            </w:tcBorders>
          </w:tcPr>
          <w:p>
            <w:pPr>
              <w:widowControl/>
              <w:spacing w:line="400" w:lineRule="exact"/>
              <w:jc w:val="center"/>
              <w:rPr>
                <w:rFonts w:ascii="仿宋_GB2312" w:hAnsi="仿宋_GB2312" w:eastAsia="仿宋_GB2312" w:cs="仿宋_GB2312"/>
                <w:bCs/>
                <w:color w:val="000000"/>
                <w:kern w:val="0"/>
                <w:sz w:val="32"/>
                <w:szCs w:val="32"/>
              </w:rPr>
            </w:pPr>
          </w:p>
        </w:tc>
        <w:tc>
          <w:tcPr>
            <w:tcW w:w="638" w:type="dxa"/>
            <w:tcBorders>
              <w:top w:val="nil"/>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眼睑</w:t>
            </w:r>
          </w:p>
          <w:p>
            <w:pPr>
              <w:widowControl/>
              <w:spacing w:line="40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190" w:type="dxa"/>
            <w:gridSpan w:val="2"/>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泪器</w:t>
            </w:r>
          </w:p>
          <w:p>
            <w:pPr>
              <w:widowControl/>
              <w:spacing w:line="40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417" w:type="dxa"/>
            <w:gridSpan w:val="2"/>
            <w:tcBorders>
              <w:top w:val="nil"/>
              <w:left w:val="nil"/>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结膜手术</w:t>
            </w:r>
          </w:p>
        </w:tc>
        <w:tc>
          <w:tcPr>
            <w:tcW w:w="1559" w:type="dxa"/>
            <w:gridSpan w:val="3"/>
            <w:tcBorders>
              <w:top w:val="nil"/>
              <w:left w:val="nil"/>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角膜手术</w:t>
            </w:r>
          </w:p>
        </w:tc>
        <w:tc>
          <w:tcPr>
            <w:tcW w:w="2411" w:type="dxa"/>
            <w:gridSpan w:val="2"/>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虹膜睫状体和</w:t>
            </w:r>
          </w:p>
          <w:p>
            <w:pPr>
              <w:widowControl/>
              <w:spacing w:line="40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前房手术</w:t>
            </w:r>
          </w:p>
        </w:tc>
        <w:tc>
          <w:tcPr>
            <w:tcW w:w="1275" w:type="dxa"/>
            <w:gridSpan w:val="2"/>
            <w:tcBorders>
              <w:top w:val="nil"/>
              <w:left w:val="nil"/>
              <w:bottom w:val="nil"/>
              <w:right w:val="nil"/>
            </w:tcBorders>
          </w:tcPr>
          <w:p>
            <w:pPr>
              <w:widowControl/>
              <w:spacing w:line="40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gridSpan w:val="2"/>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330401</w:t>
            </w:r>
          </w:p>
        </w:tc>
        <w:tc>
          <w:tcPr>
            <w:tcW w:w="1190" w:type="dxa"/>
            <w:gridSpan w:val="2"/>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330402</w:t>
            </w:r>
          </w:p>
        </w:tc>
        <w:tc>
          <w:tcPr>
            <w:tcW w:w="1417" w:type="dxa"/>
            <w:gridSpan w:val="2"/>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330403</w:t>
            </w:r>
          </w:p>
        </w:tc>
        <w:tc>
          <w:tcPr>
            <w:tcW w:w="1559" w:type="dxa"/>
            <w:gridSpan w:val="3"/>
            <w:tcBorders>
              <w:top w:val="nil"/>
              <w:left w:val="nil"/>
              <w:bottom w:val="nil"/>
              <w:right w:val="nil"/>
            </w:tcBorders>
          </w:tcPr>
          <w:p>
            <w:pPr>
              <w:widowControl/>
              <w:spacing w:line="400" w:lineRule="exact"/>
              <w:ind w:firstLine="160" w:firstLineChars="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w:t>
            </w:r>
          </w:p>
        </w:tc>
        <w:tc>
          <w:tcPr>
            <w:tcW w:w="3686" w:type="dxa"/>
            <w:gridSpan w:val="4"/>
            <w:tcBorders>
              <w:top w:val="nil"/>
              <w:left w:val="nil"/>
              <w:bottom w:val="nil"/>
              <w:right w:val="nil"/>
            </w:tcBorders>
          </w:tcPr>
          <w:p>
            <w:pPr>
              <w:widowControl/>
              <w:spacing w:line="4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330405  ……（四级分类）</w:t>
            </w:r>
          </w:p>
        </w:tc>
      </w:tr>
    </w:tbl>
    <w:p>
      <w:pPr>
        <w:widowControl/>
        <w:spacing w:line="200" w:lineRule="exact"/>
        <w:jc w:val="center"/>
        <w:rPr>
          <w:rFonts w:ascii="仿宋_GB2312" w:hAnsi="仿宋_GB2312" w:eastAsia="仿宋_GB2312" w:cs="仿宋_GB2312"/>
          <w:bCs/>
          <w:color w:val="000000"/>
          <w:kern w:val="0"/>
          <w:sz w:val="32"/>
          <w:szCs w:val="32"/>
        </w:rPr>
      </w:pPr>
    </w:p>
    <w:tbl>
      <w:tblPr>
        <w:tblStyle w:val="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4693" w:type="dxa"/>
            <w:tcBorders>
              <w:top w:val="nil"/>
              <w:lef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4693" w:type="dxa"/>
            <w:tcBorders>
              <w:top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6" w:type="dxa"/>
            <w:gridSpan w:val="2"/>
            <w:tcBorders>
              <w:bottom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9386" w:type="dxa"/>
            <w:gridSpan w:val="2"/>
            <w:tcBorders>
              <w:top w:val="nil"/>
              <w:left w:val="nil"/>
              <w:bottom w:val="nil"/>
              <w:right w:val="nil"/>
            </w:tcBorders>
          </w:tcPr>
          <w:p>
            <w:pPr>
              <w:widowControl/>
              <w:spacing w:line="360" w:lineRule="exact"/>
              <w:ind w:left="1155" w:leftChars="5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330404001 表层角膜镜片镶嵌术      （第五级：终极项目）</w:t>
            </w:r>
          </w:p>
          <w:p>
            <w:pPr>
              <w:widowControl/>
              <w:spacing w:line="360" w:lineRule="exact"/>
              <w:ind w:left="1155" w:leftChars="5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330404002 近视性放射状角膜切开术 ……</w:t>
            </w:r>
          </w:p>
        </w:tc>
      </w:tr>
    </w:tbl>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二、项目要素</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《广西医疗服务价格项目目录（2024年版）》中每项医疗服务价格项目设财务分类、项目编码、</w:t>
      </w:r>
      <w:r>
        <w:rPr>
          <w:rFonts w:hint="eastAsia" w:ascii="仿宋_GB2312" w:hAnsi="仿宋_GB2312" w:eastAsia="仿宋_GB2312" w:cs="仿宋_GB2312"/>
          <w:sz w:val="32"/>
          <w:szCs w:val="32"/>
          <w:lang w:eastAsia="zh-CN"/>
        </w:rPr>
        <w:t>国家编码、</w:t>
      </w:r>
      <w:r>
        <w:rPr>
          <w:rFonts w:hint="eastAsia" w:ascii="仿宋_GB2312" w:hAnsi="仿宋_GB2312" w:eastAsia="仿宋_GB2312" w:cs="仿宋_GB2312"/>
          <w:sz w:val="32"/>
          <w:szCs w:val="32"/>
        </w:rPr>
        <w:t>项目名称、项目内涵、除外内容、计价单位、价格和说明等9个栏目。</w:t>
      </w:r>
    </w:p>
    <w:p>
      <w:pPr>
        <w:tabs>
          <w:tab w:val="left" w:pos="5395"/>
        </w:tabs>
        <w:adjustRightInd w:val="0"/>
        <w:snapToGrid w:val="0"/>
        <w:spacing w:line="58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1.财务分类</w:t>
      </w:r>
    </w:p>
    <w:p>
      <w:pPr>
        <w:tabs>
          <w:tab w:val="left" w:pos="5395"/>
        </w:tabs>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分类是根据财政部部门和卫生健康部门制定的有关医院财务制度规定的医疗收入项目类别确定，财务分类码采用大写英文字母，其中：B为床位费、C为诊查费、D为检查费、E为治疗费、F为护理费、G为手术费、H为化验费、I为其他费、J为特殊材料费。</w:t>
      </w:r>
      <w:r>
        <w:rPr>
          <w:rFonts w:hint="eastAsia" w:ascii="仿宋_GB2312" w:hAnsi="仿宋" w:eastAsia="仿宋_GB2312"/>
          <w:sz w:val="32"/>
          <w:szCs w:val="32"/>
        </w:rPr>
        <w:t>如财政部门和卫生健康部门出台项目财务分类有关规定，从其规定。</w:t>
      </w:r>
    </w:p>
    <w:p>
      <w:pPr>
        <w:tabs>
          <w:tab w:val="left" w:pos="5395"/>
        </w:tabs>
        <w:adjustRightInd w:val="0"/>
        <w:snapToGrid w:val="0"/>
        <w:spacing w:line="56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2.项目编码</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项目编码采用顺序码</w:t>
      </w:r>
      <w:r>
        <w:rPr>
          <w:rFonts w:hint="eastAsia" w:ascii="仿宋_GB2312" w:hAnsi="仿宋_GB2312" w:eastAsia="仿宋_GB2312" w:cs="仿宋_GB2312"/>
          <w:sz w:val="32"/>
          <w:szCs w:val="32"/>
        </w:rPr>
        <w:t>设为9位。</w:t>
      </w:r>
    </w:p>
    <w:p>
      <w:pPr>
        <w:tabs>
          <w:tab w:val="left" w:pos="5395"/>
        </w:tabs>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项目编码从左至右，第1位为一级分类码，第2</w:t>
      </w:r>
      <w:r>
        <w:rPr>
          <w:rFonts w:hint="eastAsia" w:ascii="仿宋_GB2312" w:hAnsi="仿宋_GB2312" w:eastAsia="仿宋_GB2312" w:cs="仿宋_GB2312"/>
          <w:color w:val="000000"/>
          <w:sz w:val="32"/>
          <w:szCs w:val="32"/>
        </w:rPr>
        <w:t>位为二级分类码，第3—4位为三级分类码，第5—6位为四级分类码，第7—9位为项目顺序码。部分类别项目因分类简单，无第三、四级分类，分类编码记为“00”。</w:t>
      </w:r>
      <w:r>
        <w:rPr>
          <w:rFonts w:hint="eastAsia" w:ascii="仿宋_GB2312" w:hAnsi="仿宋_GB2312" w:eastAsia="仿宋_GB2312" w:cs="仿宋_GB2312"/>
          <w:sz w:val="32"/>
          <w:szCs w:val="32"/>
        </w:rPr>
        <w:t>拆分出来的最终级收费项目编码以自治区统一的1-9位编码为基础，采用1-9+N位编码管理，每一个编码对应一个项目。其中由主项目原项目内涵拆分出来的项目，第“N”位编码统一用“-1、-2…”顺延编号；由一到五级项目原说明拆分出来的项目，第“N”位编码统一用“/1、/2…”顺延编号；“6岁及以下儿童”的项目第“N”位编码统一用符号“c”；手术治疗类的同切口项目第“N”位编码用“a”，再次手术加收项目第“N”位编码用“b”；经血管介入性治疗类项目每增加一根血管加收的项目第“N”位编码用“d”进行编号。</w:t>
      </w:r>
    </w:p>
    <w:p>
      <w:pPr>
        <w:tabs>
          <w:tab w:val="left" w:pos="5395"/>
        </w:tabs>
        <w:adjustRightInd w:val="0"/>
        <w:snapToGrid w:val="0"/>
        <w:spacing w:line="560" w:lineRule="exact"/>
        <w:ind w:firstLine="642"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lang w:eastAsia="zh-CN"/>
        </w:rPr>
        <w:t>国家编码</w:t>
      </w:r>
    </w:p>
    <w:p>
      <w:pPr>
        <w:tabs>
          <w:tab w:val="left" w:pos="5395"/>
        </w:tabs>
        <w:adjustRightInd w:val="0"/>
        <w:snapToGrid w:val="0"/>
        <w:spacing w:line="56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来源于国家医疗保障局医疗服务项目分类与代码数据库</w:t>
      </w:r>
      <w:bookmarkStart w:id="0" w:name="_GoBack"/>
      <w:bookmarkEnd w:id="0"/>
      <w:r>
        <w:rPr>
          <w:rFonts w:hint="eastAsia" w:ascii="仿宋_GB2312" w:hAnsi="仿宋_GB2312" w:eastAsia="仿宋_GB2312" w:cs="仿宋_GB2312"/>
          <w:b w:val="0"/>
          <w:bCs/>
          <w:color w:val="000000"/>
          <w:sz w:val="32"/>
          <w:szCs w:val="32"/>
          <w:lang w:val="en-US" w:eastAsia="zh-CN"/>
        </w:rPr>
        <w:t>。</w:t>
      </w:r>
    </w:p>
    <w:p>
      <w:pPr>
        <w:tabs>
          <w:tab w:val="left" w:pos="5395"/>
        </w:tabs>
        <w:adjustRightInd w:val="0"/>
        <w:snapToGrid w:val="0"/>
        <w:spacing w:line="56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4</w:t>
      </w:r>
      <w:r>
        <w:rPr>
          <w:rFonts w:hint="eastAsia" w:ascii="仿宋_GB2312" w:hAnsi="仿宋_GB2312" w:eastAsia="仿宋_GB2312" w:cs="仿宋_GB2312"/>
          <w:b/>
          <w:color w:val="000000"/>
          <w:sz w:val="32"/>
          <w:szCs w:val="32"/>
        </w:rPr>
        <w:t>.项目名称</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项目名称为中文标准名称，部分项目名称中在括号内列出非中文名称或缩写。</w:t>
      </w:r>
      <w:r>
        <w:rPr>
          <w:rFonts w:hint="eastAsia" w:ascii="仿宋_GB2312" w:hAnsi="仿宋_GB2312" w:eastAsia="仿宋_GB2312" w:cs="仿宋_GB2312"/>
          <w:sz w:val="32"/>
          <w:szCs w:val="32"/>
        </w:rPr>
        <w:t>主项目内涵和说明拆分出来的项目，名称加后缀（如部位、方法、加收等）进行区分。</w:t>
      </w:r>
    </w:p>
    <w:p>
      <w:pPr>
        <w:tabs>
          <w:tab w:val="left" w:pos="5395"/>
        </w:tabs>
        <w:adjustRightInd w:val="0"/>
        <w:snapToGrid w:val="0"/>
        <w:spacing w:line="58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5</w:t>
      </w:r>
      <w:r>
        <w:rPr>
          <w:rFonts w:hint="eastAsia" w:ascii="仿宋_GB2312" w:hAnsi="仿宋_GB2312" w:eastAsia="仿宋_GB2312" w:cs="仿宋_GB2312"/>
          <w:b/>
          <w:color w:val="000000"/>
          <w:sz w:val="32"/>
          <w:szCs w:val="32"/>
        </w:rPr>
        <w:t>.项目内涵</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用于明确项目的服务范围、内容、方式和手段。项目内涵使用“含”、“不含”、“包括”、“指”等4个专用名词进行界定：</w:t>
      </w:r>
    </w:p>
    <w:p>
      <w:pPr>
        <w:numPr>
          <w:ilvl w:val="0"/>
          <w:numId w:val="1"/>
        </w:num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含：表示在医疗服务项目中应当提供的服务内容，这些服务内容不得单独分解收费。但在特殊情况下，由于患者病情需要只提供其中部分服务内容，也按此项标准计价。</w:t>
      </w:r>
    </w:p>
    <w:p>
      <w:pPr>
        <w:numPr>
          <w:ilvl w:val="0"/>
          <w:numId w:val="1"/>
        </w:num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不含：表示“不含”后面所列的服务内容可单独计价。</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（3）包括：表示在“包括”后面所列的不同服务内容和不同技术方法，均按本项目同一价格标准计价。</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（4）指：在“指”后面所列的内容，表示完成该诊疗项目的不同方法，或该诊疗项目的适用范围。由于患者病情需要只提供其中部分服务内容，也按此项标准计价；如无特别说明，不得重复计费。</w:t>
      </w:r>
    </w:p>
    <w:p>
      <w:pPr>
        <w:tabs>
          <w:tab w:val="left" w:pos="5395"/>
        </w:tabs>
        <w:adjustRightInd w:val="0"/>
        <w:snapToGrid w:val="0"/>
        <w:spacing w:line="58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6</w:t>
      </w:r>
      <w:r>
        <w:rPr>
          <w:rFonts w:hint="eastAsia" w:ascii="仿宋_GB2312" w:hAnsi="仿宋_GB2312" w:eastAsia="仿宋_GB2312" w:cs="仿宋_GB2312"/>
          <w:b/>
          <w:color w:val="000000"/>
          <w:sz w:val="32"/>
          <w:szCs w:val="32"/>
        </w:rPr>
        <w:t>.除外内容</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指在本项目中需要另行收费的药物、特殊医用消耗材料和组织器官移植的供体等。</w:t>
      </w:r>
    </w:p>
    <w:p>
      <w:pPr>
        <w:tabs>
          <w:tab w:val="left" w:pos="5395"/>
        </w:tabs>
        <w:adjustRightInd w:val="0"/>
        <w:snapToGrid w:val="0"/>
        <w:spacing w:line="58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7</w:t>
      </w:r>
      <w:r>
        <w:rPr>
          <w:rFonts w:hint="eastAsia" w:ascii="仿宋_GB2312" w:hAnsi="仿宋_GB2312" w:eastAsia="仿宋_GB2312" w:cs="仿宋_GB2312"/>
          <w:b/>
          <w:color w:val="000000"/>
          <w:sz w:val="32"/>
          <w:szCs w:val="32"/>
        </w:rPr>
        <w:t>.计价单位</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指提供该项目服务时的基本计价方式。</w:t>
      </w:r>
    </w:p>
    <w:p>
      <w:pPr>
        <w:tabs>
          <w:tab w:val="left" w:pos="5395"/>
        </w:tabs>
        <w:adjustRightInd w:val="0"/>
        <w:snapToGrid w:val="0"/>
        <w:spacing w:line="58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8</w:t>
      </w:r>
      <w:r>
        <w:rPr>
          <w:rFonts w:hint="eastAsia" w:ascii="仿宋_GB2312" w:hAnsi="仿宋_GB2312" w:eastAsia="仿宋_GB2312" w:cs="仿宋_GB2312"/>
          <w:b/>
          <w:color w:val="000000"/>
          <w:sz w:val="32"/>
          <w:szCs w:val="32"/>
        </w:rPr>
        <w:t>.价格</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指完成该项服务可以收取的费用</w:t>
      </w:r>
      <w:r>
        <w:rPr>
          <w:rFonts w:hint="eastAsia" w:ascii="仿宋_GB2312" w:hAnsi="仿宋_GB2312" w:eastAsia="仿宋_GB2312" w:cs="仿宋_GB2312"/>
          <w:sz w:val="32"/>
          <w:szCs w:val="32"/>
        </w:rPr>
        <w:t>，为非营利性医疗卫生机构政府指导价的最高限价，以人民币计价。市场调节价和特需医疗服务项目的价格，医疗卫生机构可根据成本等情况制定不同的价格标准。所有项目的价格尾数以“四舍五入”的原则保留到角。</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加收项目（注明按比例加收的除外）不进行分级定价，6岁及以下儿童不再按比例加收。</w:t>
      </w:r>
    </w:p>
    <w:p>
      <w:pPr>
        <w:tabs>
          <w:tab w:val="left" w:pos="5395"/>
        </w:tabs>
        <w:adjustRightInd w:val="0"/>
        <w:snapToGrid w:val="0"/>
        <w:spacing w:line="560"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9</w:t>
      </w:r>
      <w:r>
        <w:rPr>
          <w:rFonts w:hint="eastAsia" w:ascii="仿宋_GB2312" w:hAnsi="仿宋_GB2312" w:eastAsia="仿宋_GB2312" w:cs="仿宋_GB2312"/>
          <w:b/>
          <w:color w:val="000000"/>
          <w:sz w:val="32"/>
          <w:szCs w:val="32"/>
        </w:rPr>
        <w:t>.说明</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指本项目在定价时需要特殊说明的相关事宜。</w:t>
      </w:r>
      <w:r>
        <w:rPr>
          <w:rFonts w:hint="eastAsia" w:ascii="仿宋_GB2312" w:hAnsi="仿宋_GB2312" w:eastAsia="仿宋_GB2312" w:cs="仿宋_GB2312"/>
          <w:sz w:val="32"/>
          <w:szCs w:val="32"/>
        </w:rPr>
        <w:t>大类说明适用于同类向下各级所有项目（项目内涵、除外内容、说明等有明确的除外）。</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三、项目查找</w:t>
      </w:r>
    </w:p>
    <w:p>
      <w:pPr>
        <w:tabs>
          <w:tab w:val="left" w:pos="5395"/>
        </w:tabs>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对于科室间共同使用的项目，已归入综合医疗服务类。</w:t>
      </w:r>
    </w:p>
    <w:p>
      <w:pPr>
        <w:tabs>
          <w:tab w:val="left" w:pos="5395"/>
        </w:tabs>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对于临床各系统诊疗类和手术治疗类项目，不按临床科室列项，请参照国际疾病分类顺序，按照相应的解剖系统和部位查找。</w:t>
      </w:r>
    </w:p>
    <w:p>
      <w:pPr>
        <w:tabs>
          <w:tab w:val="left" w:pos="5395"/>
        </w:tabs>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对于两个以上医技科室均可开展的医技诊疗项目，查找时请注意医技诊疗类的说明。</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四、其他说明</w:t>
      </w:r>
    </w:p>
    <w:p>
      <w:pPr>
        <w:tabs>
          <w:tab w:val="left" w:pos="5395"/>
        </w:tabs>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1.同一项医疗服务价格项目中，由于增加技术难度、增加（或减少）诊疗范围或使用特殊仪器，费用增减已在“说明”中予以明确。</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2.同一项医疗服务价格项目中，不以设备、试剂的型号和产地区分定价。</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3.监护（监测）收费必须提供相应的记录或报告。</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4.收取各类片费、图文报告费，必须向患者提供胶片（图片）或图文报告，用于教学或医院存档目的的胶片（图片）和图文报告不得向患者收费。</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5.开展的所有医疗服务项目，需符合卫生健康行政管理部门有关规定。</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6.因操作失误、仪器性能差错等原因，导致需要重新检查、检验及治疗的，一律不得向患者另行收费。</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7.附件</w:t>
      </w:r>
      <w:r>
        <w:rPr>
          <w:rFonts w:hint="eastAsia" w:ascii="仿宋_GB2312" w:hAnsi="仿宋_GB2312" w:eastAsia="仿宋_GB2312" w:cs="仿宋_GB2312"/>
          <w:sz w:val="32"/>
          <w:szCs w:val="32"/>
        </w:rPr>
        <w:t>中文字间“/”表示“或者”，指并列关系。例如“门/急诊留观诊察费”，指门诊或急诊留观诊察费。</w:t>
      </w:r>
    </w:p>
    <w:p>
      <w:pPr>
        <w:spacing w:line="580" w:lineRule="exact"/>
      </w:pPr>
    </w:p>
    <w:p/>
    <w:sectPr>
      <w:footerReference r:id="rId3" w:type="default"/>
      <w:footerReference r:id="rId4" w:type="even"/>
      <w:pgSz w:w="11906" w:h="16838"/>
      <w:pgMar w:top="1417" w:right="1304" w:bottom="1417"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right"/>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ind w:firstLine="280" w:firstLine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5</w:t>
                </w:r>
                <w:r>
                  <w:rPr>
                    <w:rFonts w:ascii="宋体" w:hAnsi="宋体"/>
                    <w:sz w:val="28"/>
                    <w:szCs w:val="28"/>
                  </w:rPr>
                  <w:fldChar w:fldCharType="end"/>
                </w:r>
                <w:r>
                  <w:rPr>
                    <w:rStyle w:val="7"/>
                    <w:rFonts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6</w:t>
                </w:r>
                <w:r>
                  <w:rPr>
                    <w:rFonts w:ascii="宋体" w:hAnsi="宋体"/>
                    <w:sz w:val="28"/>
                    <w:szCs w:val="28"/>
                  </w:rPr>
                  <w:fldChar w:fldCharType="end"/>
                </w:r>
                <w:r>
                  <w:rPr>
                    <w:rStyle w:val="7"/>
                    <w:rFonts w:ascii="宋体" w:hAnsi="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0FA3"/>
    <w:multiLevelType w:val="singleLevel"/>
    <w:tmpl w:val="61610F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71EC7"/>
    <w:rsid w:val="00647007"/>
    <w:rsid w:val="00724EC5"/>
    <w:rsid w:val="00757FC4"/>
    <w:rsid w:val="0078352C"/>
    <w:rsid w:val="00871EC7"/>
    <w:rsid w:val="00AB48F4"/>
    <w:rsid w:val="00BB1EE6"/>
    <w:rsid w:val="32FFA1D5"/>
    <w:rsid w:val="77F1FEC0"/>
    <w:rsid w:val="77F9B01E"/>
    <w:rsid w:val="7F7E033D"/>
    <w:rsid w:val="FBF72136"/>
    <w:rsid w:val="FFEFB8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376</Words>
  <Characters>2149</Characters>
  <Lines>17</Lines>
  <Paragraphs>5</Paragraphs>
  <TotalTime>10</TotalTime>
  <ScaleCrop>false</ScaleCrop>
  <LinksUpToDate>false</LinksUpToDate>
  <CharactersWithSpaces>2520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2024-12-13T16:47:00Z</dcterms:created>
  <dc:creator>huang</dc:creator>
  <cp:lastModifiedBy>李丽林</cp:lastModifiedBy>
  <dcterms:modified xsi:type="dcterms:W3CDTF">2025-01-09T16:11:29Z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