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B39B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5BF40E5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2B3A0BF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广西壮族自治区医疗保障基金结算清单及</w:t>
      </w:r>
    </w:p>
    <w:p w14:paraId="1269760A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编码填报管理规范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2025年修订部分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 w14:paraId="1E6504A5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</w:pPr>
    </w:p>
    <w:p w14:paraId="09B7ECB1">
      <w:pPr>
        <w:pStyle w:val="3"/>
        <w:numPr>
          <w:ilvl w:val="0"/>
          <w:numId w:val="0"/>
        </w:num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</w:rPr>
        <w:t>第六十七条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恶性肿瘤术前、术中、术后放射治疗，不区分是否足疗程。</w:t>
      </w:r>
    </w:p>
    <w:p w14:paraId="04F5B696">
      <w:pPr>
        <w:widowControl/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</w:rPr>
        <w:t>第六十八条</w:t>
      </w:r>
    </w:p>
    <w:p w14:paraId="52D68511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肿瘤化学治疗（Z51.1）指符合恶性肿瘤临床实践指南（NCCN）方案的化疗。恶性肿瘤化学治疗分为术前化疗、术后化疗、维持性化疗、终末期化疗和姑息化疗等。</w:t>
      </w:r>
    </w:p>
    <w:p w14:paraId="2BE026DF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</w:rPr>
        <w:t>非疗程化疗、不符合 NCCN 方案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化疗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</w:rPr>
        <w:t>按姑息性化疗（Z51.104）填报。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具体见下表：</w:t>
      </w:r>
    </w:p>
    <w:tbl>
      <w:tblPr>
        <w:tblStyle w:val="6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135"/>
        <w:gridCol w:w="4847"/>
      </w:tblGrid>
      <w:tr w14:paraId="7C22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0F51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  <w:t>编码</w:t>
            </w: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CAAF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  <w:t>编码名称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05CB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</w:rPr>
              <w:t>说明</w:t>
            </w:r>
          </w:p>
        </w:tc>
      </w:tr>
      <w:tr w14:paraId="45F0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F81C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Z51.1</w:t>
            </w: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BA11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手术前恶性肿瘤化学治疗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6106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患者手术前进行的符合NCCN方案的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化疗</w:t>
            </w:r>
          </w:p>
        </w:tc>
      </w:tr>
      <w:tr w14:paraId="085B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396A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F950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手术后恶性肿瘤化学治疗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439A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患者手术后进行的符合NCCN方案的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</w:rPr>
              <w:t>化疗</w:t>
            </w:r>
          </w:p>
        </w:tc>
      </w:tr>
      <w:tr w14:paraId="7869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9093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5E5D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恶性肿瘤维持性化学治疗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A118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未行手术患者，或术后疗程化疗结束后，再进行的符合NCCN方案的化疗</w:t>
            </w:r>
          </w:p>
        </w:tc>
      </w:tr>
      <w:tr w14:paraId="0C484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F091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CFDB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恶性肿瘤终末期化疗</w:t>
            </w:r>
          </w:p>
        </w:tc>
        <w:tc>
          <w:tcPr>
            <w:tcW w:w="4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257B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应用NCCN方案化疗，但本次住院患者死亡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6E04DEE0">
      <w:pPr>
        <w:widowControl/>
        <w:numPr>
          <w:ilvl w:val="0"/>
          <w:numId w:val="0"/>
        </w:numPr>
        <w:spacing w:line="560" w:lineRule="exact"/>
        <w:ind w:left="0" w:leftChars="0"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白血病与淋巴瘤的化疗</w:t>
      </w:r>
      <w:r>
        <w:rPr>
          <w:rFonts w:hint="eastAsia" w:ascii="仿宋_GB2312" w:hAnsi="仿宋_GB2312" w:eastAsia="仿宋_GB2312" w:cs="仿宋_GB2312"/>
          <w:color w:val="auto"/>
          <w:spacing w:val="-6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靶向、免疫治疗</w:t>
      </w:r>
      <w:r>
        <w:rPr>
          <w:rFonts w:hint="eastAsia" w:ascii="仿宋_GB2312" w:hAnsi="仿宋_GB2312" w:eastAsia="仿宋_GB2312" w:cs="仿宋_GB2312"/>
          <w:color w:val="auto"/>
          <w:spacing w:val="-6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-SA"/>
        </w:rPr>
        <w:t>按上述规则执行。</w:t>
      </w:r>
    </w:p>
    <w:p w14:paraId="4A8A8A78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第七十五条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贫血</w:t>
      </w:r>
    </w:p>
    <w:p w14:paraId="2832BE19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（一）贫血临床应明确病因，未特指病因的贫血（D64.9）一般情况下不能作为主要编码，可以作为附加编码表达贫血程度（轻、中、重度）。具体见下表：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561"/>
        <w:gridCol w:w="5263"/>
      </w:tblGrid>
      <w:tr w14:paraId="1942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12CA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  <w:t>编码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952B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  <w:t>编码名称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27F8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</w:rPr>
              <w:t>说明</w:t>
            </w:r>
          </w:p>
        </w:tc>
      </w:tr>
      <w:tr w14:paraId="3371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8723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营养性贫血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1AEF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D50-D53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A1A12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铁、维生素B12、叶酸等造血原料不足或利用障碍所致贫血</w:t>
            </w:r>
          </w:p>
        </w:tc>
      </w:tr>
      <w:tr w14:paraId="0B0A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D0DC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溶血性贫血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5D37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D55-D59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82FD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红细胞遭到破坏，当溶血超过骨髓的代偿能力引起的贫血</w:t>
            </w:r>
          </w:p>
        </w:tc>
      </w:tr>
      <w:tr w14:paraId="6BF9C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5B03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再生障碍性贫血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0DB3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D60-D61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A346F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由不同病因和机制引起的骨髓造血功能衰竭症</w:t>
            </w:r>
          </w:p>
        </w:tc>
      </w:tr>
      <w:tr w14:paraId="28B4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C6EF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急性出血后贫血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5165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D62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0FD6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根据失血速度分类</w:t>
            </w:r>
          </w:p>
        </w:tc>
      </w:tr>
      <w:tr w14:paraId="35C9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CA23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未特指的贫血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E82C">
            <w:pPr>
              <w:autoSpaceDE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D64.9</w:t>
            </w:r>
          </w:p>
        </w:tc>
        <w:tc>
          <w:tcPr>
            <w:tcW w:w="5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2C84">
            <w:pPr>
              <w:autoSpaceDE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无法明确上述病因的贫血</w:t>
            </w:r>
          </w:p>
        </w:tc>
      </w:tr>
    </w:tbl>
    <w:p w14:paraId="66615A6B">
      <w:pPr>
        <w:pStyle w:val="3"/>
        <w:autoSpaceDE/>
        <w:autoSpaceDN/>
        <w:adjustRightInd w:val="0"/>
        <w:snapToGrid w:val="0"/>
        <w:spacing w:line="540" w:lineRule="exact"/>
        <w:ind w:firstLine="616" w:firstLineChars="200"/>
        <w:jc w:val="both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</w:rPr>
        <w:t>（二）分类于他处的慢性疾病引起的贫血采用双重分类，如肿瘤引起的贫血（C00-D48†）D63.0*、肾性贫血（N18.3-N18.9†） D63.8*。</w:t>
      </w:r>
    </w:p>
    <w:p w14:paraId="6897823E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（三）继发于慢性失血的缺铁性贫血编码于 D50.0，继发于出血后的急性贫血分类于D62。本次治疗目的是继发性贫血的病因，病因疾病作为主要编码，失血性贫血作为附加编码。</w:t>
      </w:r>
    </w:p>
    <w:p w14:paraId="3650631C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举例：胃溃疡急性出血性贫血。</w:t>
      </w:r>
    </w:p>
    <w:p w14:paraId="251765E3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主要编码：K25.4 胃溃疡伴出血</w:t>
      </w:r>
    </w:p>
    <w:p w14:paraId="641D7B6C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其他编码：D62 急性出血后贫血</w:t>
      </w:r>
    </w:p>
    <w:p w14:paraId="562EAC3C">
      <w:pPr>
        <w:pStyle w:val="3"/>
        <w:autoSpaceDE/>
        <w:autoSpaceDN/>
        <w:adjustRightInd w:val="0"/>
        <w:snapToGrid w:val="0"/>
        <w:spacing w:line="500" w:lineRule="exact"/>
        <w:ind w:firstLine="624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2"/>
          <w:sz w:val="32"/>
          <w:szCs w:val="32"/>
        </w:rPr>
        <w:t>（四）药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物诱发的贫血，附加外因编码（第二十章）标明药物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。</w:t>
      </w:r>
    </w:p>
    <w:p w14:paraId="6A105952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举例：疟疾治疗中服用氯喹引发的叶酸缺乏性贫血。</w:t>
      </w:r>
    </w:p>
    <w:p w14:paraId="17DF6BF8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主要编码：D52.1 药物性叶酸盐缺乏性贫血</w:t>
      </w:r>
    </w:p>
    <w:p w14:paraId="1F68DE4C">
      <w:pPr>
        <w:pStyle w:val="3"/>
        <w:autoSpaceDE/>
        <w:autoSpaceDN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其他编码：Y41.2 氯喹药物反应</w:t>
      </w:r>
    </w:p>
    <w:p w14:paraId="657619DD">
      <w:pPr>
        <w:keepNext w:val="0"/>
        <w:keepLines w:val="0"/>
        <w:widowControl/>
        <w:suppressLineNumbers w:val="0"/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血液及造血器官疾病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所致的贫血，如地中海贫血、再生障碍性贫血、血友病等。</w:t>
      </w:r>
    </w:p>
    <w:p w14:paraId="140B4B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1.住院目的是为了明确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  <w:t>疾病诊断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或为了确诊或治疗进行了针对性的手术或操作，选择该疾病诊断作为主要诊断。</w:t>
      </w:r>
    </w:p>
    <w:p w14:paraId="11CCC99C">
      <w:pPr>
        <w:keepNext w:val="0"/>
        <w:keepLines w:val="0"/>
        <w:widowControl/>
        <w:numPr>
          <w:ilvl w:val="0"/>
          <w:numId w:val="0"/>
        </w:numPr>
        <w:suppressLineNumbers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2.本次住院主要以输血为治疗目的，选择Z51.300（无诊断报告的）输血作为主要诊断。</w:t>
      </w:r>
    </w:p>
    <w:p w14:paraId="0188F3C3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Times New Roman" w:hAnsi="Times New Roman" w:eastAsia="方正仿宋_GBK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</w:rPr>
        <w:t>第八十条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糖尿病</w:t>
      </w:r>
    </w:p>
    <w:p w14:paraId="5899DDA7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（一）糖尿病临床应明确分型及并发症，用亚目表示糖尿病并发症。糖尿病伴有并发症（亚目.0-.8）和糖尿病不伴有并发症（亚目.9）不允许同时填报。未特指的并发症（.8）一般情况下不允许作为诊断填报。</w:t>
      </w:r>
    </w:p>
    <w:p w14:paraId="4E5E9361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（二）本次住院确诊的糖尿病根据临床分型分类，一般情况下不允许填报E14 未特指的糖尿病。</w:t>
      </w:r>
    </w:p>
    <w:p w14:paraId="66634FE7">
      <w:pPr>
        <w:widowControl/>
        <w:numPr>
          <w:ilvl w:val="0"/>
          <w:numId w:val="0"/>
        </w:numPr>
        <w:autoSpaceDE/>
        <w:autoSpaceDN/>
        <w:adjustRightInd/>
        <w:snapToGrid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本次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bidi="ar"/>
        </w:rPr>
        <w:t>住院以调整</w:t>
      </w:r>
      <w:r>
        <w:rPr>
          <w:rFonts w:hint="eastAsia" w:ascii="仿宋_GB2312" w:hAnsi="仿宋_GB2312" w:eastAsia="仿宋_GB2312" w:cs="仿宋_GB2312"/>
          <w:strike w:val="0"/>
          <w:color w:val="auto"/>
          <w:kern w:val="0"/>
          <w:sz w:val="32"/>
          <w:szCs w:val="32"/>
          <w:highlight w:val="none"/>
          <w:lang w:bidi="ar"/>
        </w:rPr>
        <w:t>血糖为目的时，选择糖尿病伴血糖控制不佳的相应分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类作为主要编码。</w:t>
      </w:r>
      <w:r>
        <w:rPr>
          <w:rFonts w:hint="eastAsia" w:ascii="仿宋_GB2312" w:hAnsi="仿宋_GB2312" w:eastAsia="仿宋_GB2312" w:cs="仿宋_GB2312"/>
          <w:strike w:val="0"/>
          <w:color w:val="auto"/>
          <w:kern w:val="0"/>
          <w:sz w:val="32"/>
          <w:szCs w:val="32"/>
          <w:highlight w:val="none"/>
          <w:lang w:eastAsia="zh-CN" w:bidi="ar"/>
        </w:rPr>
        <w:t>该类编码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仅可用于主要诊断，不能用于其他诊断。</w:t>
      </w:r>
    </w:p>
    <w:p w14:paraId="263BC13E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（四）糖尿病同时伴有急性和慢性并发症时，选择急性并发症作为主要诊断。</w:t>
      </w:r>
    </w:p>
    <w:p w14:paraId="31071F62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（五）糖尿病合并两个及以上并发症，原则上“糖尿病伴有多个并发症”不作为主要诊断填报，选择主要治疗的并发症作为主要诊断， 其他糖尿病并发症和“糖尿病伴有多个并发症”作为其他诊断填报； 只有无法确定本次主要治疗的并发症时，才有可能选择“糖尿病伴有多个并发症”作为主要诊断，糖尿病具体并发症作为其他诊断。</w:t>
      </w:r>
    </w:p>
    <w:p w14:paraId="18F6EE03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</w:rPr>
        <w:t>第一百七十五条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颈痛及颈椎病</w:t>
      </w:r>
    </w:p>
    <w:p w14:paraId="2DA8A992">
      <w:pPr>
        <w:pStyle w:val="3"/>
        <w:autoSpaceDE/>
        <w:autoSpaceDN/>
        <w:adjustRightInd w:val="0"/>
        <w:snapToGrid w:val="0"/>
        <w:spacing w:line="56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颈痛临床应明确病因（如创伤、关节炎、颈部肌肉紧张或颈椎间盘疾病等），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只有除外相关的鉴别诊断，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无法确定病因时，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痛（M54.2）才可能作为编码填报。</w:t>
      </w:r>
    </w:p>
    <w:p w14:paraId="66891C1B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颈痛的病因是颈椎病时，临床应进一步明确具体疾病（关节强硬，椎间盘脱出等），并根据实际治疗及诊断选择原则进行编码填报。如果颈椎病无具体的描述，假定为不伴有脊髓病或神经根病，编码于M47.8（其他的脊椎关节强硬）。</w:t>
      </w:r>
    </w:p>
    <w:p w14:paraId="38E590F1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患者入院目的仅针对疼痛进行治疗时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主要诊断选择：</w:t>
      </w:r>
    </w:p>
    <w:p w14:paraId="2248C495">
      <w:pPr>
        <w:pStyle w:val="3"/>
        <w:numPr>
          <w:ilvl w:val="0"/>
          <w:numId w:val="1"/>
        </w:num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如果引起疼痛的病因，其疾病编码已包含疼痛或神经疼痛含义的，可作为主要诊断，例如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M50.1+G55.0*颈椎间盘突出伴有神经根病；</w:t>
      </w:r>
    </w:p>
    <w:p w14:paraId="648F5422">
      <w:pPr>
        <w:pStyle w:val="3"/>
        <w:numPr>
          <w:ilvl w:val="0"/>
          <w:numId w:val="1"/>
        </w:num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如无病因诊断，使用具体部位疼痛作为主要诊断，例如：M54.200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M54.502腰痛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；</w:t>
      </w:r>
    </w:p>
    <w:p w14:paraId="4A536726">
      <w:pPr>
        <w:pStyle w:val="3"/>
        <w:numPr>
          <w:ilvl w:val="0"/>
          <w:numId w:val="1"/>
        </w:numPr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如无具体部位或多个部位疼痛，应填报疼痛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R52.-）作为主要诊断；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并根据治疗方式填报手术及操作编码。</w:t>
      </w:r>
    </w:p>
    <w:p w14:paraId="156D9D31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背痛（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M54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）的填报原则参照此标准。</w:t>
      </w:r>
    </w:p>
    <w:p w14:paraId="192FF7B6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六、第一百八十九条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肾病综合征（N04.9）填报时应明确入院目的， 仅为冲击治疗时，选择冲击治疗（Z51.8）作为主要诊断，肾病综合征作为其他诊断。</w:t>
      </w:r>
    </w:p>
    <w:p w14:paraId="747DF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6"/>
          <w:kern w:val="0"/>
          <w:sz w:val="32"/>
          <w:szCs w:val="32"/>
          <w:lang w:val="en-US" w:eastAsia="zh-CN" w:bidi="ar"/>
        </w:rPr>
        <w:t>肾透析相关主要诊断填报时应依据入院目的选择主要诊断：</w:t>
      </w:r>
    </w:p>
    <w:p w14:paraId="4E72F7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（一）为肾透析行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  <w:t>建立透析通路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手术的，选择Z49.0透析的准备医疗作主要诊断。</w:t>
      </w:r>
    </w:p>
    <w:p w14:paraId="7A90CF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（二）仅为肾透析治疗时，选择涉及肾透析的医疗（Z49.1-Z49.2）作为主要诊断。</w:t>
      </w:r>
    </w:p>
    <w:p w14:paraId="698A4B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  <w:t>（三）患者因慢性肾脏病住院治疗，伴有心衰表现者，仍选择慢性肾脏病（N18.-）作为主要诊断填报，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并根据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肾替代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</w:rPr>
        <w:t>治疗方式填报手术及操作编码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1E4445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  <w:t>（四）为治疗肾透析相关并发症的，以并发症作为主要诊断。如：导管相关感染编码T82.7;动静脉瘘编码T82.8;导管功能不良，导管脱出、渗漏等编码到导管的机械并发症T82.4；其他并发症，如导管血栓形成，编码到T82.8静脉插管血栓形成；动静脉瘘狭窄，编码T82.8。</w:t>
      </w:r>
    </w:p>
    <w:p w14:paraId="56295D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 w:bidi="ar"/>
        </w:rPr>
        <w:t>（五）为了拔除肾透析装置，应编码Z46.8拔除肾透析装置。</w:t>
      </w:r>
    </w:p>
    <w:p w14:paraId="5C961B1E">
      <w:pPr>
        <w:pStyle w:val="3"/>
        <w:autoSpaceDE/>
        <w:autoSpaceDN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trike w:val="0"/>
          <w:dstrike w:val="0"/>
          <w:color w:val="auto"/>
          <w:kern w:val="2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</w:rPr>
        <w:t>第三百三十条</w:t>
      </w: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骨髓或造血干细胞移植（41.0）应区分造血细胞来源（骨髓、造血干细胞、脐血干细胞）、自体或异体、是否伴净化，并附加编码（00.91-00.93）说明材料来源，具体见下表：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105"/>
        <w:gridCol w:w="4104"/>
        <w:gridCol w:w="1655"/>
      </w:tblGrid>
      <w:tr w14:paraId="561DF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3852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lang w:eastAsia="zh-CN"/>
              </w:rPr>
              <w:t>造血细胞来源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FD9F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trike/>
                <w:dstrike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trike w:val="0"/>
                <w:dstrike w:val="0"/>
                <w:color w:val="auto"/>
                <w:kern w:val="2"/>
                <w:sz w:val="24"/>
                <w:szCs w:val="24"/>
                <w:lang w:eastAsia="zh-CN"/>
              </w:rPr>
              <w:t>供者类型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1EF4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trike w:val="0"/>
                <w:dstrike w:val="0"/>
                <w:color w:val="auto"/>
                <w:kern w:val="2"/>
                <w:sz w:val="24"/>
                <w:szCs w:val="24"/>
                <w:lang w:eastAsia="zh-CN"/>
              </w:rPr>
              <w:t>手术</w:t>
            </w:r>
            <w:r>
              <w:rPr>
                <w:rFonts w:hint="eastAsia" w:ascii="方正黑体_GBK" w:hAnsi="方正黑体_GBK" w:eastAsia="方正黑体_GBK" w:cs="方正黑体_GBK"/>
                <w:bCs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/>
              </w:rPr>
              <w:t>/操作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5EAF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strike/>
                <w:dstrike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trike w:val="0"/>
                <w:dstrike w:val="0"/>
                <w:color w:val="auto"/>
                <w:kern w:val="2"/>
                <w:sz w:val="24"/>
                <w:szCs w:val="24"/>
                <w:lang w:eastAsia="zh-CN"/>
              </w:rPr>
              <w:t>编码</w:t>
            </w:r>
          </w:p>
        </w:tc>
      </w:tr>
      <w:tr w14:paraId="47839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2409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骨髓移植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E477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E417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自体骨髓移植不伴净化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1D6A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41.01</w:t>
            </w:r>
          </w:p>
        </w:tc>
      </w:tr>
      <w:tr w14:paraId="5BE88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711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A3E0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FA19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自体骨髓移植伴净化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9975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41.09</w:t>
            </w:r>
          </w:p>
        </w:tc>
      </w:tr>
      <w:tr w14:paraId="1C686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F811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骨髓移植</w:t>
            </w:r>
            <w:commentRange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commentReference w:id="0"/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5099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20A1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异体骨髓移植伴净化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2C47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41.02</w:t>
            </w:r>
          </w:p>
        </w:tc>
      </w:tr>
      <w:tr w14:paraId="501F8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716E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E61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8842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异体骨髓移植不伴净化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B6AD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41.03</w:t>
            </w:r>
          </w:p>
        </w:tc>
      </w:tr>
      <w:tr w14:paraId="680FE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723F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造血干细胞移植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001B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4252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自体造血干细胞移植不伴净化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EDC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41.04</w:t>
            </w:r>
          </w:p>
        </w:tc>
      </w:tr>
      <w:tr w14:paraId="22F3E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DF33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40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357D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自体造血干细胞移植伴净化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AD63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41.07</w:t>
            </w:r>
          </w:p>
        </w:tc>
      </w:tr>
      <w:tr w14:paraId="0A8F6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276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D86C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</w:t>
            </w: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D766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异体造血干细胞移植不伴净化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5C4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41.05</w:t>
            </w:r>
          </w:p>
        </w:tc>
      </w:tr>
      <w:tr w14:paraId="40DC8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935E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F423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449F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异体造血干细胞移植伴净化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329C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41.08</w:t>
            </w:r>
          </w:p>
        </w:tc>
      </w:tr>
      <w:tr w14:paraId="75FD0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C698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脐血干细胞移植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A790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4896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脐血干细胞移植</w:t>
            </w:r>
          </w:p>
        </w:tc>
        <w:tc>
          <w:tcPr>
            <w:tcW w:w="1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7BC5">
            <w:pPr>
              <w:autoSpaceDE/>
              <w:autoSpaceDN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41.06</w:t>
            </w:r>
          </w:p>
        </w:tc>
      </w:tr>
    </w:tbl>
    <w:p w14:paraId="1F4F53C4"/>
    <w:p w14:paraId="4B7636D3">
      <w:pPr>
        <w:rPr>
          <w:rFonts w:hint="default" w:asciiTheme="minorHAnsi" w:hAnsiTheme="minorHAnsi" w:eastAsiaTheme="minorEastAsia" w:cstheme="minorBidi"/>
          <w:strike w:val="0"/>
          <w:dstrike w:val="0"/>
          <w:kern w:val="2"/>
          <w:sz w:val="21"/>
          <w:szCs w:val="22"/>
          <w:lang w:val="en-US" w:eastAsia="zh-CN"/>
        </w:rPr>
      </w:pPr>
    </w:p>
    <w:p w14:paraId="26B1B6DE">
      <w:pPr>
        <w:rPr>
          <w:rFonts w:hint="default" w:asciiTheme="minorHAnsi" w:hAnsiTheme="minorHAnsi" w:eastAsiaTheme="minorEastAsia" w:cstheme="minorBidi"/>
          <w:strike w:val="0"/>
          <w:dstrike w:val="0"/>
          <w:kern w:val="2"/>
          <w:sz w:val="21"/>
          <w:szCs w:val="22"/>
          <w:lang w:val="en-US" w:eastAsia="zh-CN"/>
        </w:rPr>
      </w:pPr>
    </w:p>
    <w:p w14:paraId="1617CF38">
      <w:pPr>
        <w:rPr>
          <w:rFonts w:hint="default" w:asciiTheme="minorHAnsi" w:hAnsiTheme="minorHAnsi" w:eastAsiaTheme="minorEastAsia" w:cstheme="minorBidi"/>
          <w:strike w:val="0"/>
          <w:dstrike w:val="0"/>
          <w:kern w:val="2"/>
          <w:sz w:val="21"/>
          <w:szCs w:val="22"/>
          <w:lang w:val="en-US" w:eastAsia="zh-CN"/>
        </w:rPr>
      </w:pPr>
    </w:p>
    <w:p w14:paraId="74BD2150">
      <w:pPr>
        <w:rPr>
          <w:rFonts w:hint="default" w:asciiTheme="minorHAnsi" w:hAnsiTheme="minorHAnsi" w:eastAsiaTheme="minorEastAsia" w:cstheme="minorBidi"/>
          <w:strike w:val="0"/>
          <w:dstrike w:val="0"/>
          <w:kern w:val="2"/>
          <w:sz w:val="21"/>
          <w:szCs w:val="22"/>
          <w:lang w:val="en-US" w:eastAsia="zh-CN"/>
        </w:rPr>
      </w:pPr>
    </w:p>
    <w:p w14:paraId="2E8FB9C0">
      <w:pPr>
        <w:rPr>
          <w:rFonts w:hint="default" w:asciiTheme="minorHAnsi" w:hAnsiTheme="minorHAnsi" w:eastAsiaTheme="minorEastAsia" w:cstheme="minorBidi"/>
          <w:strike w:val="0"/>
          <w:dstrike w:val="0"/>
          <w:kern w:val="2"/>
          <w:sz w:val="21"/>
          <w:szCs w:val="22"/>
          <w:lang w:val="en-US" w:eastAsia="zh-CN"/>
        </w:rPr>
      </w:pPr>
    </w:p>
    <w:sectPr>
      <w:footerReference r:id="rId5" w:type="default"/>
      <w:pgSz w:w="11906" w:h="16838"/>
      <w:pgMar w:top="1440" w:right="1576" w:bottom="1440" w:left="1633" w:header="851" w:footer="1304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晓新" w:date="2025-05-07T13:44:00Z" w:initials="">
    <w:p w14:paraId="E2FC6CE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合并单元格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E2FC6C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C104F6-1918-4B80-AA51-B71BB0058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D30F80-B0D0-4630-95C7-432E9BD6DBF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284EB7-6ECB-4D59-94BA-184C0F3EEE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00C2459-36AF-46D0-9121-9D295A1C6B2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AECBF8E5-D4AE-4CF3-8DB2-A37310480932}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6" w:fontKey="{7190EE29-DCDE-4820-8F7E-B53AD01EAEB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77C0E"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51D23"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51D23">
                    <w:pPr>
                      <w:pStyle w:val="4"/>
                      <w:ind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3BD14"/>
    <w:multiLevelType w:val="singleLevel"/>
    <w:tmpl w:val="EF33BD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晓新">
    <w15:presenceInfo w15:providerId="WPS Office" w15:userId="1147047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NTkyY2IwODQxNGVjMmI0NDgzZWU0NzIyNjhhODAifQ=="/>
  </w:docVars>
  <w:rsids>
    <w:rsidRoot w:val="002B4532"/>
    <w:rsid w:val="00014E92"/>
    <w:rsid w:val="00020B4E"/>
    <w:rsid w:val="00022E84"/>
    <w:rsid w:val="000310CE"/>
    <w:rsid w:val="00046502"/>
    <w:rsid w:val="00046D7C"/>
    <w:rsid w:val="000657D3"/>
    <w:rsid w:val="000768C2"/>
    <w:rsid w:val="00077A4B"/>
    <w:rsid w:val="000A015C"/>
    <w:rsid w:val="000A02BF"/>
    <w:rsid w:val="000A11DF"/>
    <w:rsid w:val="000B5278"/>
    <w:rsid w:val="000C3207"/>
    <w:rsid w:val="000E3125"/>
    <w:rsid w:val="000E4FA1"/>
    <w:rsid w:val="000E58B2"/>
    <w:rsid w:val="000F03FE"/>
    <w:rsid w:val="000F3B8A"/>
    <w:rsid w:val="000F57F9"/>
    <w:rsid w:val="00101F39"/>
    <w:rsid w:val="00112FD4"/>
    <w:rsid w:val="00115C3A"/>
    <w:rsid w:val="0011694D"/>
    <w:rsid w:val="001169E4"/>
    <w:rsid w:val="00122995"/>
    <w:rsid w:val="0012460D"/>
    <w:rsid w:val="0013316C"/>
    <w:rsid w:val="00133553"/>
    <w:rsid w:val="00142DBB"/>
    <w:rsid w:val="00145C8F"/>
    <w:rsid w:val="00163766"/>
    <w:rsid w:val="001660F8"/>
    <w:rsid w:val="0017110D"/>
    <w:rsid w:val="001745F0"/>
    <w:rsid w:val="001748E9"/>
    <w:rsid w:val="00180090"/>
    <w:rsid w:val="0018378B"/>
    <w:rsid w:val="00192E58"/>
    <w:rsid w:val="001B7F06"/>
    <w:rsid w:val="001C1DF5"/>
    <w:rsid w:val="001D103B"/>
    <w:rsid w:val="001E1BE6"/>
    <w:rsid w:val="001F4ED3"/>
    <w:rsid w:val="002012BE"/>
    <w:rsid w:val="00240494"/>
    <w:rsid w:val="002423D9"/>
    <w:rsid w:val="00257960"/>
    <w:rsid w:val="0027057E"/>
    <w:rsid w:val="002835B8"/>
    <w:rsid w:val="00290ED3"/>
    <w:rsid w:val="002A1593"/>
    <w:rsid w:val="002A22EA"/>
    <w:rsid w:val="002B4532"/>
    <w:rsid w:val="002D6678"/>
    <w:rsid w:val="002E142F"/>
    <w:rsid w:val="002E69D2"/>
    <w:rsid w:val="00303576"/>
    <w:rsid w:val="00311E11"/>
    <w:rsid w:val="00312D59"/>
    <w:rsid w:val="00333FBA"/>
    <w:rsid w:val="003659F5"/>
    <w:rsid w:val="00371DD5"/>
    <w:rsid w:val="00373BCD"/>
    <w:rsid w:val="00373FB2"/>
    <w:rsid w:val="003902D2"/>
    <w:rsid w:val="003A5679"/>
    <w:rsid w:val="003B12EE"/>
    <w:rsid w:val="003B24D9"/>
    <w:rsid w:val="003B3596"/>
    <w:rsid w:val="003B66FD"/>
    <w:rsid w:val="003C0EED"/>
    <w:rsid w:val="003C7E44"/>
    <w:rsid w:val="003E6158"/>
    <w:rsid w:val="00402B43"/>
    <w:rsid w:val="00420CF2"/>
    <w:rsid w:val="00420F98"/>
    <w:rsid w:val="004258F1"/>
    <w:rsid w:val="00431850"/>
    <w:rsid w:val="00452EC9"/>
    <w:rsid w:val="00455B27"/>
    <w:rsid w:val="00460625"/>
    <w:rsid w:val="00470D05"/>
    <w:rsid w:val="00477CC9"/>
    <w:rsid w:val="004912F5"/>
    <w:rsid w:val="00496E8A"/>
    <w:rsid w:val="004A63E6"/>
    <w:rsid w:val="004B2EC0"/>
    <w:rsid w:val="004B558B"/>
    <w:rsid w:val="004C3696"/>
    <w:rsid w:val="004D22BB"/>
    <w:rsid w:val="004E2A11"/>
    <w:rsid w:val="004E33BA"/>
    <w:rsid w:val="004E472A"/>
    <w:rsid w:val="004E502B"/>
    <w:rsid w:val="004F1A8A"/>
    <w:rsid w:val="004F37AE"/>
    <w:rsid w:val="004F3992"/>
    <w:rsid w:val="00501792"/>
    <w:rsid w:val="00505314"/>
    <w:rsid w:val="00511764"/>
    <w:rsid w:val="00513FCE"/>
    <w:rsid w:val="005212B5"/>
    <w:rsid w:val="00523CA8"/>
    <w:rsid w:val="0052571E"/>
    <w:rsid w:val="00525E09"/>
    <w:rsid w:val="00526027"/>
    <w:rsid w:val="00526E2B"/>
    <w:rsid w:val="00536160"/>
    <w:rsid w:val="0054306C"/>
    <w:rsid w:val="00551709"/>
    <w:rsid w:val="005547D1"/>
    <w:rsid w:val="00556779"/>
    <w:rsid w:val="0056447B"/>
    <w:rsid w:val="005715FA"/>
    <w:rsid w:val="00581800"/>
    <w:rsid w:val="00587AF2"/>
    <w:rsid w:val="005A46AB"/>
    <w:rsid w:val="005C1F90"/>
    <w:rsid w:val="005C7B61"/>
    <w:rsid w:val="005D0281"/>
    <w:rsid w:val="005F4533"/>
    <w:rsid w:val="006014D6"/>
    <w:rsid w:val="00605D1D"/>
    <w:rsid w:val="00624720"/>
    <w:rsid w:val="00624F1A"/>
    <w:rsid w:val="006325E9"/>
    <w:rsid w:val="00642437"/>
    <w:rsid w:val="006529FB"/>
    <w:rsid w:val="00653A04"/>
    <w:rsid w:val="006544D7"/>
    <w:rsid w:val="00655EF4"/>
    <w:rsid w:val="006651C1"/>
    <w:rsid w:val="006651D4"/>
    <w:rsid w:val="00675563"/>
    <w:rsid w:val="006869AD"/>
    <w:rsid w:val="00690692"/>
    <w:rsid w:val="006940ED"/>
    <w:rsid w:val="006975DF"/>
    <w:rsid w:val="006B4094"/>
    <w:rsid w:val="006B701D"/>
    <w:rsid w:val="006C1D42"/>
    <w:rsid w:val="006C324F"/>
    <w:rsid w:val="006D3E20"/>
    <w:rsid w:val="006D6539"/>
    <w:rsid w:val="006E2243"/>
    <w:rsid w:val="006F5048"/>
    <w:rsid w:val="006F61ED"/>
    <w:rsid w:val="00704E93"/>
    <w:rsid w:val="007055E3"/>
    <w:rsid w:val="00706E31"/>
    <w:rsid w:val="00717992"/>
    <w:rsid w:val="00720C14"/>
    <w:rsid w:val="00725539"/>
    <w:rsid w:val="00730FB4"/>
    <w:rsid w:val="00732219"/>
    <w:rsid w:val="00733766"/>
    <w:rsid w:val="00743960"/>
    <w:rsid w:val="0074682C"/>
    <w:rsid w:val="0075367C"/>
    <w:rsid w:val="00764E62"/>
    <w:rsid w:val="0077011B"/>
    <w:rsid w:val="0078673C"/>
    <w:rsid w:val="00793CCF"/>
    <w:rsid w:val="00794AFE"/>
    <w:rsid w:val="007A0FB9"/>
    <w:rsid w:val="007D6A72"/>
    <w:rsid w:val="007E5A3A"/>
    <w:rsid w:val="00830FBE"/>
    <w:rsid w:val="00840554"/>
    <w:rsid w:val="008447D5"/>
    <w:rsid w:val="00847276"/>
    <w:rsid w:val="00855932"/>
    <w:rsid w:val="00855B6D"/>
    <w:rsid w:val="00867FC1"/>
    <w:rsid w:val="00872065"/>
    <w:rsid w:val="00875626"/>
    <w:rsid w:val="0087593B"/>
    <w:rsid w:val="008900D4"/>
    <w:rsid w:val="00891909"/>
    <w:rsid w:val="00892335"/>
    <w:rsid w:val="008D3569"/>
    <w:rsid w:val="008E4CE3"/>
    <w:rsid w:val="008F403E"/>
    <w:rsid w:val="008F4A26"/>
    <w:rsid w:val="009006D5"/>
    <w:rsid w:val="0091530C"/>
    <w:rsid w:val="00932EA3"/>
    <w:rsid w:val="009334E7"/>
    <w:rsid w:val="00935658"/>
    <w:rsid w:val="00945EC9"/>
    <w:rsid w:val="009568E1"/>
    <w:rsid w:val="009639B8"/>
    <w:rsid w:val="00970F23"/>
    <w:rsid w:val="009823A6"/>
    <w:rsid w:val="009926C0"/>
    <w:rsid w:val="009927F8"/>
    <w:rsid w:val="0099591A"/>
    <w:rsid w:val="009A4DFD"/>
    <w:rsid w:val="009A74E3"/>
    <w:rsid w:val="009B257A"/>
    <w:rsid w:val="009B43CC"/>
    <w:rsid w:val="009B47D3"/>
    <w:rsid w:val="009B51BC"/>
    <w:rsid w:val="009B5420"/>
    <w:rsid w:val="009B790F"/>
    <w:rsid w:val="009D16F1"/>
    <w:rsid w:val="009E54C0"/>
    <w:rsid w:val="009F5A85"/>
    <w:rsid w:val="009F7A1F"/>
    <w:rsid w:val="00A04B24"/>
    <w:rsid w:val="00A077EA"/>
    <w:rsid w:val="00A11DFF"/>
    <w:rsid w:val="00A124BA"/>
    <w:rsid w:val="00A35EA9"/>
    <w:rsid w:val="00A4699B"/>
    <w:rsid w:val="00A546CA"/>
    <w:rsid w:val="00A625C1"/>
    <w:rsid w:val="00A64BF2"/>
    <w:rsid w:val="00A67392"/>
    <w:rsid w:val="00A71EB1"/>
    <w:rsid w:val="00A93CD4"/>
    <w:rsid w:val="00A976F1"/>
    <w:rsid w:val="00AA68E9"/>
    <w:rsid w:val="00AC6110"/>
    <w:rsid w:val="00AD1009"/>
    <w:rsid w:val="00AE12F1"/>
    <w:rsid w:val="00AF3978"/>
    <w:rsid w:val="00B17203"/>
    <w:rsid w:val="00B259E9"/>
    <w:rsid w:val="00B31D2D"/>
    <w:rsid w:val="00B34734"/>
    <w:rsid w:val="00B402CE"/>
    <w:rsid w:val="00B56C93"/>
    <w:rsid w:val="00B613A2"/>
    <w:rsid w:val="00B71827"/>
    <w:rsid w:val="00B720B5"/>
    <w:rsid w:val="00B823D9"/>
    <w:rsid w:val="00B942D3"/>
    <w:rsid w:val="00BA0699"/>
    <w:rsid w:val="00BA7307"/>
    <w:rsid w:val="00BB0942"/>
    <w:rsid w:val="00BD14FC"/>
    <w:rsid w:val="00BD4F3C"/>
    <w:rsid w:val="00BE7EF7"/>
    <w:rsid w:val="00C01898"/>
    <w:rsid w:val="00C0415F"/>
    <w:rsid w:val="00C14610"/>
    <w:rsid w:val="00C225C0"/>
    <w:rsid w:val="00C461B3"/>
    <w:rsid w:val="00C46847"/>
    <w:rsid w:val="00C53E51"/>
    <w:rsid w:val="00C571F5"/>
    <w:rsid w:val="00C65CEA"/>
    <w:rsid w:val="00C80B0D"/>
    <w:rsid w:val="00CA14A6"/>
    <w:rsid w:val="00CB2887"/>
    <w:rsid w:val="00CC28DA"/>
    <w:rsid w:val="00CC3626"/>
    <w:rsid w:val="00CD336A"/>
    <w:rsid w:val="00CE6335"/>
    <w:rsid w:val="00CF6CCD"/>
    <w:rsid w:val="00D0146E"/>
    <w:rsid w:val="00D06073"/>
    <w:rsid w:val="00D12C5B"/>
    <w:rsid w:val="00D13E48"/>
    <w:rsid w:val="00D31DE4"/>
    <w:rsid w:val="00D320B0"/>
    <w:rsid w:val="00D35953"/>
    <w:rsid w:val="00D55EC1"/>
    <w:rsid w:val="00D6418D"/>
    <w:rsid w:val="00D7735D"/>
    <w:rsid w:val="00D81456"/>
    <w:rsid w:val="00D83E5B"/>
    <w:rsid w:val="00D84C59"/>
    <w:rsid w:val="00DC32C7"/>
    <w:rsid w:val="00DC3793"/>
    <w:rsid w:val="00DD2568"/>
    <w:rsid w:val="00DD2C41"/>
    <w:rsid w:val="00DD6153"/>
    <w:rsid w:val="00DE25B0"/>
    <w:rsid w:val="00DE4934"/>
    <w:rsid w:val="00E03646"/>
    <w:rsid w:val="00E2200B"/>
    <w:rsid w:val="00E24924"/>
    <w:rsid w:val="00E26BFA"/>
    <w:rsid w:val="00E3076E"/>
    <w:rsid w:val="00E30E18"/>
    <w:rsid w:val="00E31DE6"/>
    <w:rsid w:val="00E358C5"/>
    <w:rsid w:val="00E36C9C"/>
    <w:rsid w:val="00E50DBF"/>
    <w:rsid w:val="00E52075"/>
    <w:rsid w:val="00E65954"/>
    <w:rsid w:val="00E810D7"/>
    <w:rsid w:val="00E87E14"/>
    <w:rsid w:val="00E952DA"/>
    <w:rsid w:val="00ED6A7C"/>
    <w:rsid w:val="00EE3EB8"/>
    <w:rsid w:val="00F066D5"/>
    <w:rsid w:val="00F108A8"/>
    <w:rsid w:val="00F21282"/>
    <w:rsid w:val="00F2794D"/>
    <w:rsid w:val="00F45154"/>
    <w:rsid w:val="00F454B6"/>
    <w:rsid w:val="00F511B5"/>
    <w:rsid w:val="00F551A5"/>
    <w:rsid w:val="00F57CCE"/>
    <w:rsid w:val="00F60F31"/>
    <w:rsid w:val="00F62D3D"/>
    <w:rsid w:val="00F654BD"/>
    <w:rsid w:val="00F67B85"/>
    <w:rsid w:val="00F7695B"/>
    <w:rsid w:val="00F80D2E"/>
    <w:rsid w:val="00FA0ECB"/>
    <w:rsid w:val="00FA7A16"/>
    <w:rsid w:val="00FC4293"/>
    <w:rsid w:val="00FC433C"/>
    <w:rsid w:val="00FC4934"/>
    <w:rsid w:val="00FD05B4"/>
    <w:rsid w:val="00FE5E7B"/>
    <w:rsid w:val="00FE76D4"/>
    <w:rsid w:val="00FF2CD6"/>
    <w:rsid w:val="01A93FA3"/>
    <w:rsid w:val="139558F0"/>
    <w:rsid w:val="157D4B04"/>
    <w:rsid w:val="19C55F3A"/>
    <w:rsid w:val="1DB573D4"/>
    <w:rsid w:val="1E110AAE"/>
    <w:rsid w:val="1FFD1446"/>
    <w:rsid w:val="236553F8"/>
    <w:rsid w:val="24F133E8"/>
    <w:rsid w:val="277EA74A"/>
    <w:rsid w:val="27B5694E"/>
    <w:rsid w:val="27E86D24"/>
    <w:rsid w:val="27F31807"/>
    <w:rsid w:val="2B7ECB28"/>
    <w:rsid w:val="30313232"/>
    <w:rsid w:val="3408102A"/>
    <w:rsid w:val="34992B70"/>
    <w:rsid w:val="34D50630"/>
    <w:rsid w:val="355A6D87"/>
    <w:rsid w:val="35876A57"/>
    <w:rsid w:val="363E3FB3"/>
    <w:rsid w:val="397D701F"/>
    <w:rsid w:val="3C8A1D00"/>
    <w:rsid w:val="3CB90837"/>
    <w:rsid w:val="3CD7E270"/>
    <w:rsid w:val="3D646E47"/>
    <w:rsid w:val="3DE11E51"/>
    <w:rsid w:val="3F5CF35B"/>
    <w:rsid w:val="3F750A16"/>
    <w:rsid w:val="3FFBE466"/>
    <w:rsid w:val="4C6C4ED1"/>
    <w:rsid w:val="528C0CBE"/>
    <w:rsid w:val="55F54F0F"/>
    <w:rsid w:val="57FFAEEC"/>
    <w:rsid w:val="5AE76118"/>
    <w:rsid w:val="5DDF5C69"/>
    <w:rsid w:val="5DEE59BD"/>
    <w:rsid w:val="5DFF4D5F"/>
    <w:rsid w:val="5DFF634A"/>
    <w:rsid w:val="5F510616"/>
    <w:rsid w:val="5F79B6ED"/>
    <w:rsid w:val="636F1AAD"/>
    <w:rsid w:val="63EE1F80"/>
    <w:rsid w:val="68CD337D"/>
    <w:rsid w:val="6DEF55B7"/>
    <w:rsid w:val="6F6B35F8"/>
    <w:rsid w:val="6F7F59A1"/>
    <w:rsid w:val="6FFE25C5"/>
    <w:rsid w:val="6FFF40A5"/>
    <w:rsid w:val="70724ED6"/>
    <w:rsid w:val="7333A772"/>
    <w:rsid w:val="73EFA48F"/>
    <w:rsid w:val="75B72E5F"/>
    <w:rsid w:val="75FB2871"/>
    <w:rsid w:val="76A5511D"/>
    <w:rsid w:val="7767AA27"/>
    <w:rsid w:val="778F4E65"/>
    <w:rsid w:val="77B97245"/>
    <w:rsid w:val="77BB69EE"/>
    <w:rsid w:val="77E583FE"/>
    <w:rsid w:val="79BBF036"/>
    <w:rsid w:val="79BFBF31"/>
    <w:rsid w:val="79DCBC1E"/>
    <w:rsid w:val="7BBC536C"/>
    <w:rsid w:val="7BEC758A"/>
    <w:rsid w:val="7BFE46D8"/>
    <w:rsid w:val="7CFA9611"/>
    <w:rsid w:val="7DEF78DE"/>
    <w:rsid w:val="7DFD26AC"/>
    <w:rsid w:val="7EDF00AE"/>
    <w:rsid w:val="7F3E4B89"/>
    <w:rsid w:val="7F8E08E4"/>
    <w:rsid w:val="7F9AF885"/>
    <w:rsid w:val="7FE6B8AB"/>
    <w:rsid w:val="7FED78BD"/>
    <w:rsid w:val="7FFA7A09"/>
    <w:rsid w:val="7FFBBC2D"/>
    <w:rsid w:val="7FFD5A02"/>
    <w:rsid w:val="8DD72FA9"/>
    <w:rsid w:val="9BCF472E"/>
    <w:rsid w:val="9EFE0B84"/>
    <w:rsid w:val="AD7DE26F"/>
    <w:rsid w:val="AFF7B0FE"/>
    <w:rsid w:val="B6CD249D"/>
    <w:rsid w:val="B6F3B4EC"/>
    <w:rsid w:val="B7EF0073"/>
    <w:rsid w:val="B7F5ADC5"/>
    <w:rsid w:val="B7F5FE32"/>
    <w:rsid w:val="BA7B23C6"/>
    <w:rsid w:val="BBBE7F2C"/>
    <w:rsid w:val="BDAEDDB8"/>
    <w:rsid w:val="BDB7D820"/>
    <w:rsid w:val="BEE8E621"/>
    <w:rsid w:val="BFB657C2"/>
    <w:rsid w:val="BFF6F28F"/>
    <w:rsid w:val="C5B76C88"/>
    <w:rsid w:val="CFBF3CE9"/>
    <w:rsid w:val="CFF77A69"/>
    <w:rsid w:val="D1EE26D9"/>
    <w:rsid w:val="D5D508E9"/>
    <w:rsid w:val="D5E76721"/>
    <w:rsid w:val="D6FA9B3E"/>
    <w:rsid w:val="D7E6D567"/>
    <w:rsid w:val="D7E7DABE"/>
    <w:rsid w:val="D7FB4DFC"/>
    <w:rsid w:val="D8C7DEFE"/>
    <w:rsid w:val="DBFAB15C"/>
    <w:rsid w:val="DDBEF11E"/>
    <w:rsid w:val="DDF3C9BF"/>
    <w:rsid w:val="DE4EA27B"/>
    <w:rsid w:val="DFAB32FD"/>
    <w:rsid w:val="DFEC5450"/>
    <w:rsid w:val="E7F7FAA9"/>
    <w:rsid w:val="EDBFF072"/>
    <w:rsid w:val="EF8B93ED"/>
    <w:rsid w:val="EFF41788"/>
    <w:rsid w:val="EFFB9E2E"/>
    <w:rsid w:val="F7DE952A"/>
    <w:rsid w:val="F7FF3663"/>
    <w:rsid w:val="F8D7629F"/>
    <w:rsid w:val="F8DFED9A"/>
    <w:rsid w:val="F9B77A3A"/>
    <w:rsid w:val="FB6F1B98"/>
    <w:rsid w:val="FB7FF905"/>
    <w:rsid w:val="FBDF9277"/>
    <w:rsid w:val="FBFD7164"/>
    <w:rsid w:val="FC87286D"/>
    <w:rsid w:val="FCBEC77F"/>
    <w:rsid w:val="FD3DBB8B"/>
    <w:rsid w:val="FD7FE430"/>
    <w:rsid w:val="FEA7912E"/>
    <w:rsid w:val="FEEB7A0C"/>
    <w:rsid w:val="FEECB2FC"/>
    <w:rsid w:val="FEFFAD7B"/>
    <w:rsid w:val="FEFFCDEB"/>
    <w:rsid w:val="FF3FCC66"/>
    <w:rsid w:val="FF77E24C"/>
    <w:rsid w:val="FFBB1A28"/>
    <w:rsid w:val="FFFB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rPr>
      <w:sz w:val="28"/>
      <w:szCs w:val="28"/>
      <w:lang w:val="en-US" w:bidi="ar-SA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2906</Words>
  <Characters>3189</Characters>
  <Lines>2</Lines>
  <Paragraphs>1</Paragraphs>
  <TotalTime>8</TotalTime>
  <ScaleCrop>false</ScaleCrop>
  <LinksUpToDate>false</LinksUpToDate>
  <CharactersWithSpaces>3264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2024-08-21T13:07:00Z</dcterms:created>
  <dc:creator>ylsy</dc:creator>
  <cp:lastModifiedBy>Jeuin</cp:lastModifiedBy>
  <dcterms:modified xsi:type="dcterms:W3CDTF">2025-06-10T03:43:26Z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A70F92F7D9414F38B9D8C60FE9189F12_13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