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z w:val="32"/>
          <w:szCs w:val="32"/>
        </w:rPr>
      </w:pPr>
      <w:r>
        <w:rPr>
          <w:rFonts w:hint="eastAsia" w:ascii="黑体" w:hAnsi="黑体" w:eastAsia="黑体"/>
          <w:sz w:val="32"/>
          <w:szCs w:val="32"/>
        </w:rPr>
        <w:t>附件3</w:t>
      </w:r>
    </w:p>
    <w:p>
      <w:pPr>
        <w:spacing w:line="500" w:lineRule="exact"/>
        <w:rPr>
          <w:rFonts w:hint="eastAsia"/>
        </w:rPr>
      </w:pPr>
    </w:p>
    <w:p>
      <w:pPr>
        <w:spacing w:line="5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医疗机构（三级医院）医疗保障定点评估表</w:t>
      </w:r>
    </w:p>
    <w:bookmarkEnd w:id="0"/>
    <w:p>
      <w:pPr>
        <w:spacing w:line="500" w:lineRule="exact"/>
        <w:rPr>
          <w:rFonts w:ascii="仿宋_GB2312" w:eastAsia="仿宋_GB2312"/>
          <w:sz w:val="32"/>
          <w:szCs w:val="32"/>
        </w:rPr>
      </w:pPr>
      <w:r>
        <w:rPr>
          <w:rFonts w:hint="eastAsia" w:ascii="仿宋_GB2312" w:eastAsia="仿宋_GB2312"/>
          <w:sz w:val="32"/>
          <w:szCs w:val="32"/>
        </w:rPr>
        <w:t>医疗机构（盖章）：                      评估时间：</w:t>
      </w:r>
    </w:p>
    <w:tbl>
      <w:tblPr>
        <w:tblStyle w:val="4"/>
        <w:tblW w:w="10874" w:type="dxa"/>
        <w:jc w:val="center"/>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05"/>
        <w:gridCol w:w="3113"/>
        <w:gridCol w:w="567"/>
        <w:gridCol w:w="4810"/>
        <w:gridCol w:w="567"/>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51" w:type="dxa"/>
            <w:shd w:val="clear" w:color="auto" w:fill="FFFFFF"/>
            <w:vAlign w:val="center"/>
          </w:tcPr>
          <w:p>
            <w:pPr>
              <w:widowControl/>
              <w:spacing w:line="300" w:lineRule="exact"/>
              <w:jc w:val="center"/>
              <w:rPr>
                <w:rFonts w:ascii="黑体" w:hAnsi="黑体" w:eastAsia="黑体" w:cs="宋体"/>
                <w:bCs/>
                <w:color w:val="000000"/>
                <w:kern w:val="0"/>
                <w:sz w:val="16"/>
                <w:szCs w:val="16"/>
              </w:rPr>
            </w:pPr>
            <w:r>
              <w:rPr>
                <w:rFonts w:hint="eastAsia" w:ascii="黑体" w:hAnsi="黑体" w:eastAsia="黑体" w:cs="宋体"/>
                <w:bCs/>
                <w:color w:val="000000"/>
                <w:kern w:val="0"/>
                <w:sz w:val="16"/>
                <w:szCs w:val="16"/>
              </w:rPr>
              <w:t>评分项目</w:t>
            </w:r>
          </w:p>
        </w:tc>
        <w:tc>
          <w:tcPr>
            <w:tcW w:w="505" w:type="dxa"/>
            <w:shd w:val="clear" w:color="auto" w:fill="FFFFFF"/>
            <w:vAlign w:val="center"/>
          </w:tcPr>
          <w:p>
            <w:pPr>
              <w:widowControl/>
              <w:spacing w:line="300" w:lineRule="exact"/>
              <w:jc w:val="center"/>
              <w:rPr>
                <w:rFonts w:ascii="黑体" w:hAnsi="黑体" w:eastAsia="黑体" w:cs="宋体"/>
                <w:bCs/>
                <w:color w:val="000000"/>
                <w:kern w:val="0"/>
                <w:sz w:val="16"/>
                <w:szCs w:val="16"/>
              </w:rPr>
            </w:pPr>
            <w:r>
              <w:rPr>
                <w:rFonts w:hint="eastAsia" w:ascii="黑体" w:hAnsi="黑体" w:eastAsia="黑体" w:cs="宋体"/>
                <w:bCs/>
                <w:color w:val="000000"/>
                <w:kern w:val="0"/>
                <w:sz w:val="16"/>
                <w:szCs w:val="16"/>
              </w:rPr>
              <w:t>编号</w:t>
            </w:r>
          </w:p>
        </w:tc>
        <w:tc>
          <w:tcPr>
            <w:tcW w:w="3113" w:type="dxa"/>
            <w:shd w:val="clear" w:color="auto" w:fill="FFFFFF"/>
            <w:vAlign w:val="center"/>
          </w:tcPr>
          <w:p>
            <w:pPr>
              <w:widowControl/>
              <w:spacing w:line="300" w:lineRule="exact"/>
              <w:jc w:val="center"/>
              <w:rPr>
                <w:rFonts w:ascii="黑体" w:hAnsi="黑体" w:eastAsia="黑体" w:cs="宋体"/>
                <w:bCs/>
                <w:color w:val="000000"/>
                <w:kern w:val="0"/>
                <w:sz w:val="16"/>
                <w:szCs w:val="16"/>
              </w:rPr>
            </w:pPr>
            <w:r>
              <w:rPr>
                <w:rFonts w:hint="eastAsia" w:ascii="黑体" w:hAnsi="黑体" w:eastAsia="黑体" w:cs="宋体"/>
                <w:bCs/>
                <w:color w:val="000000"/>
                <w:kern w:val="0"/>
                <w:sz w:val="16"/>
                <w:szCs w:val="16"/>
              </w:rPr>
              <w:t>评估指标</w:t>
            </w:r>
          </w:p>
        </w:tc>
        <w:tc>
          <w:tcPr>
            <w:tcW w:w="567" w:type="dxa"/>
            <w:shd w:val="clear" w:color="auto" w:fill="FFFFFF"/>
            <w:vAlign w:val="center"/>
          </w:tcPr>
          <w:p>
            <w:pPr>
              <w:widowControl/>
              <w:spacing w:line="300" w:lineRule="exact"/>
              <w:jc w:val="center"/>
              <w:rPr>
                <w:rFonts w:ascii="黑体" w:hAnsi="黑体" w:eastAsia="黑体" w:cs="宋体"/>
                <w:bCs/>
                <w:color w:val="000000"/>
                <w:kern w:val="0"/>
                <w:sz w:val="16"/>
                <w:szCs w:val="16"/>
              </w:rPr>
            </w:pPr>
            <w:r>
              <w:rPr>
                <w:rFonts w:hint="eastAsia" w:ascii="黑体" w:hAnsi="黑体" w:eastAsia="黑体" w:cs="宋体"/>
                <w:bCs/>
                <w:color w:val="000000"/>
                <w:kern w:val="0"/>
                <w:sz w:val="16"/>
                <w:szCs w:val="16"/>
              </w:rPr>
              <w:t>分值</w:t>
            </w:r>
          </w:p>
        </w:tc>
        <w:tc>
          <w:tcPr>
            <w:tcW w:w="4810" w:type="dxa"/>
            <w:shd w:val="clear" w:color="auto" w:fill="FFFFFF"/>
            <w:vAlign w:val="center"/>
          </w:tcPr>
          <w:p>
            <w:pPr>
              <w:widowControl/>
              <w:spacing w:line="300" w:lineRule="exact"/>
              <w:jc w:val="center"/>
              <w:rPr>
                <w:rFonts w:ascii="黑体" w:hAnsi="黑体" w:eastAsia="黑体" w:cs="宋体"/>
                <w:bCs/>
                <w:color w:val="000000"/>
                <w:kern w:val="0"/>
                <w:sz w:val="16"/>
                <w:szCs w:val="16"/>
              </w:rPr>
            </w:pPr>
            <w:r>
              <w:rPr>
                <w:rFonts w:hint="eastAsia" w:ascii="黑体" w:hAnsi="黑体" w:eastAsia="黑体" w:cs="宋体"/>
                <w:bCs/>
                <w:color w:val="000000"/>
                <w:kern w:val="0"/>
                <w:sz w:val="16"/>
                <w:szCs w:val="16"/>
              </w:rPr>
              <w:t>评估标准</w:t>
            </w:r>
          </w:p>
        </w:tc>
        <w:tc>
          <w:tcPr>
            <w:tcW w:w="567" w:type="dxa"/>
            <w:shd w:val="clear" w:color="auto" w:fill="FFFFFF"/>
            <w:vAlign w:val="center"/>
          </w:tcPr>
          <w:p>
            <w:pPr>
              <w:widowControl/>
              <w:spacing w:line="300" w:lineRule="exact"/>
              <w:jc w:val="center"/>
              <w:rPr>
                <w:rFonts w:ascii="黑体" w:hAnsi="黑体" w:eastAsia="黑体" w:cs="宋体"/>
                <w:bCs/>
                <w:color w:val="000000"/>
                <w:kern w:val="0"/>
                <w:sz w:val="16"/>
                <w:szCs w:val="16"/>
              </w:rPr>
            </w:pPr>
            <w:r>
              <w:rPr>
                <w:rFonts w:hint="eastAsia" w:ascii="黑体" w:hAnsi="黑体" w:eastAsia="黑体" w:cs="宋体"/>
                <w:bCs/>
                <w:color w:val="000000"/>
                <w:kern w:val="0"/>
                <w:sz w:val="16"/>
                <w:szCs w:val="16"/>
              </w:rPr>
              <w:t>得分</w:t>
            </w:r>
          </w:p>
        </w:tc>
        <w:tc>
          <w:tcPr>
            <w:tcW w:w="661" w:type="dxa"/>
            <w:shd w:val="clear" w:color="auto" w:fill="FFFFFF"/>
            <w:vAlign w:val="center"/>
          </w:tcPr>
          <w:p>
            <w:pPr>
              <w:widowControl/>
              <w:spacing w:line="300" w:lineRule="exact"/>
              <w:jc w:val="center"/>
              <w:rPr>
                <w:rFonts w:ascii="黑体" w:hAnsi="黑体" w:eastAsia="黑体" w:cs="宋体"/>
                <w:bCs/>
                <w:color w:val="000000"/>
                <w:kern w:val="0"/>
                <w:sz w:val="16"/>
                <w:szCs w:val="16"/>
              </w:rPr>
            </w:pPr>
            <w:r>
              <w:rPr>
                <w:rFonts w:hint="eastAsia" w:ascii="黑体" w:hAnsi="黑体" w:eastAsia="黑体" w:cs="宋体"/>
                <w:bCs/>
                <w:color w:val="000000"/>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0874" w:type="dxa"/>
            <w:gridSpan w:val="7"/>
            <w:shd w:val="clear" w:color="auto" w:fill="auto"/>
            <w:vAlign w:val="center"/>
          </w:tcPr>
          <w:p>
            <w:pPr>
              <w:widowControl/>
              <w:spacing w:line="300" w:lineRule="exact"/>
              <w:jc w:val="center"/>
              <w:rPr>
                <w:rFonts w:ascii="黑体" w:hAnsi="黑体" w:eastAsia="黑体" w:cs="宋体"/>
                <w:bCs/>
                <w:color w:val="000000"/>
                <w:kern w:val="0"/>
                <w:sz w:val="16"/>
                <w:szCs w:val="16"/>
              </w:rPr>
            </w:pPr>
            <w:r>
              <w:rPr>
                <w:rFonts w:hint="eastAsia" w:ascii="黑体" w:hAnsi="黑体" w:eastAsia="黑体" w:cs="宋体"/>
                <w:bCs/>
                <w:color w:val="000000"/>
                <w:kern w:val="0"/>
                <w:sz w:val="16"/>
                <w:szCs w:val="16"/>
              </w:rPr>
              <w:t>一、基础管理20分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51" w:type="dxa"/>
            <w:vMerge w:val="restart"/>
            <w:shd w:val="clear" w:color="auto" w:fill="auto"/>
            <w:vAlign w:val="center"/>
          </w:tcPr>
          <w:p>
            <w:pPr>
              <w:widowControl/>
              <w:spacing w:line="300" w:lineRule="exact"/>
              <w:jc w:val="center"/>
              <w:rPr>
                <w:rFonts w:ascii="宋体" w:hAnsi="宋体" w:eastAsia="宋体" w:cs="宋体"/>
                <w:bCs/>
                <w:color w:val="000000"/>
                <w:kern w:val="0"/>
                <w:sz w:val="16"/>
                <w:szCs w:val="16"/>
              </w:rPr>
            </w:pPr>
            <w:r>
              <w:rPr>
                <w:rFonts w:hint="eastAsia" w:ascii="宋体" w:hAnsi="宋体" w:eastAsia="宋体" w:cs="宋体"/>
                <w:bCs/>
                <w:color w:val="000000"/>
                <w:kern w:val="0"/>
                <w:sz w:val="16"/>
                <w:szCs w:val="16"/>
              </w:rPr>
              <w:t>相</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关</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制</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度</w:t>
            </w: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311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建立药品进销存制度。</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建立进销存登记、台账、信息管理等相关制度，有相关纸质文件存档得0.5分，制度上墙的得0.5分。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311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建立医用耗材进销存制度。</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建立进销存登记、台账、信息管理等相关制度，有相关纸质文件存档得0.5分，制度上墙的得0.5分。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311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建立财务管理制度。</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建立结算账户与现金管理等相关财务制度，有相关纸质文件存档得0.5分，制度上墙的得0.5分。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311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建立医院内部信息系统管理制度。</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建立系统建设标准、传输、安全等信息管理制度，有相关纸质文件存档得0.5分，制度上墙的得0.5分。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建立医保结算业务管理制度，制定参保人员就医流程，制作医保政策宣传栏。</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建立参保人员就医、结算流程，公示医保政策，有相关纸质文件存档的得2分、制度上墙的得1分；结合实际考虑就医过程中的各科室设置，不方便参保人员就医的本项不得分。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311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建立医保管理制度，设立独立医保管理科室,配备专职医保管理人员，开展医保管理相关培训。</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设有独立医保科室和专职管理人员得2分；开展了医保管理相关培训的得1分。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w:t>
            </w:r>
          </w:p>
        </w:tc>
        <w:tc>
          <w:tcPr>
            <w:tcW w:w="311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建立医疗质量安全核心制度。</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健全医疗质量制度和医疗安全制度，有相关纸质文件存档得0.5分，制度上墙的得0.5分。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w:t>
            </w:r>
          </w:p>
        </w:tc>
        <w:tc>
          <w:tcPr>
            <w:tcW w:w="311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*卫生健康部门医疗机构评审情况。</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核查卫生健康部门医疗机构评审结果，提供相关证明和证件得2分，无法提供证明材料的，本项不得分。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311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建立医疗用毒性药品、麻醉药品、精神药品管理制度。</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做到专人负责、专柜加锁、专用账册、专用处方、专册登记，有相关纸质文件存档得分。有毒麻药品丢失现象本项不得分。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1" w:type="dxa"/>
            <w:vMerge w:val="restart"/>
            <w:shd w:val="clear" w:color="auto" w:fill="auto"/>
            <w:vAlign w:val="center"/>
          </w:tcPr>
          <w:p>
            <w:pPr>
              <w:widowControl/>
              <w:spacing w:line="300" w:lineRule="exact"/>
              <w:jc w:val="center"/>
              <w:rPr>
                <w:rFonts w:ascii="宋体" w:hAnsi="宋体" w:eastAsia="宋体" w:cs="宋体"/>
                <w:bCs/>
                <w:color w:val="000000"/>
                <w:kern w:val="0"/>
                <w:sz w:val="16"/>
                <w:szCs w:val="16"/>
              </w:rPr>
            </w:pPr>
            <w:r>
              <w:rPr>
                <w:rFonts w:hint="eastAsia" w:ascii="宋体" w:hAnsi="宋体" w:eastAsia="宋体" w:cs="宋体"/>
                <w:bCs/>
                <w:color w:val="000000"/>
                <w:kern w:val="0"/>
                <w:sz w:val="16"/>
                <w:szCs w:val="16"/>
              </w:rPr>
              <w:t>医</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疗</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质</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量</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管</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理</w:t>
            </w: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建立首诊负责制度，对医务人员开展了业务培训。</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建立首诊科室和医师对参保人员的检查、诊断、治疗和抢救等责任的管理制度得1分；开展了业务培训得1分。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11</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建立病历管理制度，配置医疗质量管理部门和人员，对医务人员开展了业务培训。</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病历书写规范、病历质量控制、病案管理等制度得1分；配置医疗质量管理部门和人员得0.5分；开展了业务培训得0.5分；配置疾病诊断编码设手术操作编码人员得1分。不配置疾病诊断编码设手术操作编码人员该项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建立急危重患者抢救制度，对医务人员开展了业务培训。</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建立急危重病员抢救、病情汇报、病情记录等管理制度得0.5分；开展了业务培训得0.5分。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874" w:type="dxa"/>
            <w:gridSpan w:val="7"/>
            <w:shd w:val="clear" w:color="auto" w:fill="auto"/>
            <w:vAlign w:val="center"/>
          </w:tcPr>
          <w:p>
            <w:pPr>
              <w:widowControl/>
              <w:spacing w:line="300" w:lineRule="exact"/>
              <w:jc w:val="center"/>
              <w:rPr>
                <w:rFonts w:ascii="黑体" w:hAnsi="黑体" w:eastAsia="黑体" w:cs="宋体"/>
                <w:bCs/>
                <w:color w:val="000000"/>
                <w:kern w:val="0"/>
                <w:sz w:val="16"/>
                <w:szCs w:val="16"/>
              </w:rPr>
            </w:pPr>
            <w:r>
              <w:rPr>
                <w:rFonts w:hint="eastAsia" w:ascii="黑体" w:hAnsi="黑体" w:eastAsia="黑体" w:cs="宋体"/>
                <w:bCs/>
                <w:color w:val="000000"/>
                <w:kern w:val="0"/>
                <w:sz w:val="16"/>
                <w:szCs w:val="16"/>
              </w:rPr>
              <w:t>二、服务能力 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51" w:type="dxa"/>
            <w:vMerge w:val="restart"/>
            <w:shd w:val="clear" w:color="auto" w:fill="auto"/>
            <w:vAlign w:val="center"/>
          </w:tcPr>
          <w:p>
            <w:pPr>
              <w:widowControl/>
              <w:spacing w:line="300" w:lineRule="exact"/>
              <w:jc w:val="center"/>
              <w:rPr>
                <w:rFonts w:hint="eastAsia" w:ascii="宋体" w:hAnsi="宋体" w:eastAsia="宋体" w:cs="宋体"/>
                <w:bCs/>
                <w:color w:val="000000"/>
                <w:kern w:val="0"/>
                <w:sz w:val="16"/>
                <w:szCs w:val="16"/>
              </w:rPr>
            </w:pPr>
            <w:r>
              <w:rPr>
                <w:rFonts w:hint="eastAsia" w:ascii="宋体" w:hAnsi="宋体" w:eastAsia="宋体" w:cs="宋体"/>
                <w:bCs/>
                <w:color w:val="000000"/>
                <w:kern w:val="0"/>
                <w:sz w:val="16"/>
                <w:szCs w:val="16"/>
              </w:rPr>
              <w:t>服</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务</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内</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容</w:t>
            </w:r>
          </w:p>
          <w:p>
            <w:pPr>
              <w:widowControl/>
              <w:spacing w:line="300" w:lineRule="exact"/>
              <w:jc w:val="center"/>
              <w:rPr>
                <w:rFonts w:hint="eastAsia" w:ascii="宋体" w:hAnsi="宋体" w:eastAsia="宋体" w:cs="宋体"/>
                <w:bCs/>
                <w:color w:val="000000"/>
                <w:kern w:val="0"/>
                <w:sz w:val="16"/>
                <w:szCs w:val="16"/>
              </w:rPr>
            </w:pPr>
          </w:p>
          <w:p>
            <w:pPr>
              <w:widowControl/>
              <w:spacing w:line="300" w:lineRule="exact"/>
              <w:jc w:val="center"/>
              <w:rPr>
                <w:rFonts w:hint="eastAsia" w:ascii="宋体" w:hAnsi="宋体" w:eastAsia="宋体" w:cs="宋体"/>
                <w:bCs/>
                <w:color w:val="000000"/>
                <w:kern w:val="0"/>
                <w:sz w:val="16"/>
                <w:szCs w:val="16"/>
              </w:rPr>
            </w:pPr>
          </w:p>
          <w:p>
            <w:pPr>
              <w:widowControl/>
              <w:spacing w:line="300" w:lineRule="exact"/>
              <w:jc w:val="center"/>
              <w:rPr>
                <w:rFonts w:hint="eastAsia" w:ascii="宋体" w:hAnsi="宋体" w:eastAsia="宋体" w:cs="宋体"/>
                <w:bCs/>
                <w:color w:val="000000"/>
                <w:kern w:val="0"/>
                <w:sz w:val="16"/>
                <w:szCs w:val="16"/>
              </w:rPr>
            </w:pPr>
          </w:p>
          <w:p>
            <w:pPr>
              <w:widowControl/>
              <w:spacing w:line="300" w:lineRule="exact"/>
              <w:jc w:val="center"/>
              <w:rPr>
                <w:rFonts w:hint="eastAsia" w:ascii="宋体" w:hAnsi="宋体" w:eastAsia="宋体" w:cs="宋体"/>
                <w:bCs/>
                <w:color w:val="000000"/>
                <w:kern w:val="0"/>
                <w:sz w:val="16"/>
                <w:szCs w:val="16"/>
              </w:rPr>
            </w:pPr>
          </w:p>
          <w:p>
            <w:pPr>
              <w:widowControl/>
              <w:spacing w:line="300" w:lineRule="exact"/>
              <w:jc w:val="center"/>
              <w:rPr>
                <w:rFonts w:hint="eastAsia" w:ascii="宋体" w:hAnsi="宋体" w:eastAsia="宋体" w:cs="宋体"/>
                <w:bCs/>
                <w:color w:val="000000"/>
                <w:kern w:val="0"/>
                <w:sz w:val="16"/>
                <w:szCs w:val="16"/>
              </w:rPr>
            </w:pPr>
          </w:p>
          <w:p>
            <w:pPr>
              <w:widowControl/>
              <w:spacing w:line="300" w:lineRule="exact"/>
              <w:jc w:val="center"/>
              <w:rPr>
                <w:rFonts w:hint="eastAsia" w:ascii="宋体" w:hAnsi="宋体" w:eastAsia="宋体" w:cs="宋体"/>
                <w:bCs/>
                <w:color w:val="000000"/>
                <w:kern w:val="0"/>
                <w:sz w:val="16"/>
                <w:szCs w:val="16"/>
              </w:rPr>
            </w:pPr>
          </w:p>
          <w:p>
            <w:pPr>
              <w:widowControl/>
              <w:spacing w:line="300" w:lineRule="exact"/>
              <w:jc w:val="center"/>
              <w:rPr>
                <w:rFonts w:ascii="宋体" w:hAnsi="宋体" w:eastAsia="宋体" w:cs="宋体"/>
                <w:bCs/>
                <w:color w:val="000000"/>
                <w:kern w:val="0"/>
                <w:sz w:val="16"/>
                <w:szCs w:val="16"/>
              </w:rPr>
            </w:pPr>
            <w:r>
              <w:rPr>
                <w:rFonts w:hint="eastAsia" w:ascii="宋体" w:hAnsi="宋体" w:eastAsia="宋体" w:cs="宋体"/>
                <w:bCs/>
                <w:color w:val="000000"/>
                <w:kern w:val="0"/>
                <w:sz w:val="16"/>
                <w:szCs w:val="16"/>
              </w:rPr>
              <w:t>服</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务</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内</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容</w:t>
            </w: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门诊处</w:t>
            </w:r>
            <w:r>
              <w:rPr>
                <w:rFonts w:ascii="宋体" w:hAnsi="宋体" w:eastAsia="宋体" w:cs="宋体"/>
                <w:color w:val="000000"/>
                <w:kern w:val="0"/>
                <w:sz w:val="16"/>
              </w:rPr>
              <w:t>方、治疗单书写是否规范，药品使用是否符合用药规范。</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随机抽查</w:t>
            </w:r>
            <w:r>
              <w:rPr>
                <w:rFonts w:ascii="宋体" w:hAnsi="宋体" w:eastAsia="宋体" w:cs="宋体"/>
                <w:color w:val="000000"/>
                <w:kern w:val="0"/>
                <w:sz w:val="16"/>
              </w:rPr>
              <w:t>处方、治疗单100张，如数量不足100张，按实际数量抽取，重点检查门诊处方、治疗单书写内容完整，药品处方注明药品名称、规格、数量、用法；药品使用符合用药规范。合格率达85%及以上的，本项得分，85%以下，本项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w:t>
            </w:r>
          </w:p>
        </w:tc>
        <w:tc>
          <w:tcPr>
            <w:tcW w:w="3113"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病历书写规范、字迹清晰、表述准确、内容完整。</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随机抽查20份病历，如数量不足20份，按实际数量抽取，重要检查检验、用药和治疗有无在病程记录中说明，并有结果分析，中医及民族医的理法方药应遵循辨证施治原则。合格率达85%及以上的，本项得分，85%以下，本项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w:t>
            </w:r>
          </w:p>
        </w:tc>
        <w:tc>
          <w:tcPr>
            <w:tcW w:w="3113"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提供合理的医疗服务。</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随机抽查20份病历，如数量不足20份，按实际数量抽取，重要检查住院医嘱、病程记录、检查结果、治疗单记录和票据、费用清单等是否相吻合，并与实际为参保人员提供的医疗服务相一致。合格率达85%及以上的，本项得分，85%以下，本项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c>
          <w:tcPr>
            <w:tcW w:w="3113"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符合用药管理规定。</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随机抽查20份病历，如数量不足20份，按实际数量抽取，重要检查有无超限定使用范围或适应症用药，无指征超疗程或超剂量用药。合格率达85%及以上的，本项得分，85%以下，本项不得分。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3113"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符合卫生健康行政部门管理要求，合理检查、合理治疗，合理使用医用材料。</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随机抽查20份病历，如数量不足20份，按实际数量抽取，重要检查是否分清主辅诊疗项目，辅助治疗项目的费用不得高于主要治疗项目的费用，有无实施超出病情实际需要的其他医疗服务。合格率达85%及以上的，本项得分，85%以下，本项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3113"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开设急诊、急救科室。</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设有急诊、急救科室得1分，配备抢救设备、药品并符合规定的得1分。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51" w:type="dxa"/>
            <w:vMerge w:val="restart"/>
            <w:shd w:val="clear" w:color="auto" w:fill="auto"/>
            <w:vAlign w:val="center"/>
          </w:tcPr>
          <w:p>
            <w:pPr>
              <w:widowControl/>
              <w:jc w:val="center"/>
              <w:rPr>
                <w:rFonts w:ascii="宋体" w:hAnsi="宋体" w:eastAsia="宋体" w:cs="宋体"/>
                <w:bCs/>
                <w:color w:val="000000"/>
                <w:kern w:val="0"/>
                <w:sz w:val="16"/>
                <w:szCs w:val="16"/>
              </w:rPr>
            </w:pPr>
            <w:r>
              <w:rPr>
                <w:rFonts w:hint="eastAsia" w:ascii="宋体" w:hAnsi="宋体" w:eastAsia="宋体" w:cs="宋体"/>
                <w:bCs/>
                <w:color w:val="000000"/>
                <w:kern w:val="0"/>
                <w:sz w:val="16"/>
                <w:szCs w:val="16"/>
              </w:rPr>
              <w:t>基</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础</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设</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施</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和</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医</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疗</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设</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备</w:t>
            </w: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19</w:t>
            </w:r>
          </w:p>
        </w:tc>
        <w:tc>
          <w:tcPr>
            <w:tcW w:w="311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辅</w:t>
            </w:r>
            <w:r>
              <w:rPr>
                <w:rFonts w:ascii="宋体" w:hAnsi="宋体" w:eastAsia="宋体" w:cs="宋体"/>
                <w:color w:val="000000"/>
                <w:kern w:val="0"/>
                <w:sz w:val="16"/>
              </w:rPr>
              <w:t>助检查项目：心电、B超（彩超）、放射、三大常规及血生化检验等具备情况。</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常</w:t>
            </w:r>
            <w:r>
              <w:rPr>
                <w:rFonts w:ascii="宋体" w:hAnsi="宋体" w:eastAsia="宋体" w:cs="宋体"/>
                <w:color w:val="000000"/>
                <w:kern w:val="0"/>
                <w:sz w:val="16"/>
              </w:rPr>
              <w:t>用辅助检查：心电1分，B超（彩超）1分，放射1分，三大常规及血生化检验1分。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3113"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设备操作人员具备相应资质。</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设备操作人员具备该专业资质的得3分，有1人不符合的不得分。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w:t>
            </w:r>
          </w:p>
        </w:tc>
        <w:tc>
          <w:tcPr>
            <w:tcW w:w="3113"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*核查检验科室设施和设备情况。</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核查检验科室是否配备与服务功能相适应的检验设施设备，未配备齐全的此项不得分。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22</w:t>
            </w:r>
          </w:p>
        </w:tc>
        <w:tc>
          <w:tcPr>
            <w:tcW w:w="3113"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*影像检查科设施和设备情况。</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核查是否配备与医疗机构执业许可核准的执业范围相适应的放射性设备，未配备齐全的此项不得分。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23</w:t>
            </w:r>
          </w:p>
        </w:tc>
        <w:tc>
          <w:tcPr>
            <w:tcW w:w="3113"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*药房贮存情况。</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核查是否配备符合药品存放要求的货架等设施；麻醉药品、一类精神药品、医疗用毒性药品及放射性药品储存应具有相应的安全保卫设施；配备冷库或冰箱用于储存冷藏药品，未配备齐全的此项不得分。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51" w:type="dxa"/>
            <w:vMerge w:val="restart"/>
            <w:shd w:val="clear" w:color="auto" w:fill="auto"/>
            <w:vAlign w:val="center"/>
          </w:tcPr>
          <w:p>
            <w:pPr>
              <w:widowControl/>
              <w:jc w:val="center"/>
              <w:rPr>
                <w:rFonts w:ascii="宋体" w:hAnsi="宋体" w:eastAsia="宋体" w:cs="宋体"/>
                <w:bCs/>
                <w:color w:val="000000"/>
                <w:kern w:val="0"/>
                <w:sz w:val="16"/>
                <w:szCs w:val="16"/>
              </w:rPr>
            </w:pPr>
            <w:r>
              <w:rPr>
                <w:rFonts w:hint="eastAsia" w:ascii="宋体" w:hAnsi="宋体" w:eastAsia="宋体" w:cs="宋体"/>
                <w:bCs/>
                <w:color w:val="000000"/>
                <w:kern w:val="0"/>
                <w:sz w:val="16"/>
                <w:szCs w:val="16"/>
              </w:rPr>
              <w:t>证</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件</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及</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科</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室</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设</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置</w:t>
            </w: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24</w:t>
            </w:r>
          </w:p>
        </w:tc>
        <w:tc>
          <w:tcPr>
            <w:tcW w:w="3113"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*工作人员执有的医师执业证书或中医（专长）医师资格证书医师情况。</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至少有1名取得医师执业证书或中医（专长）医师资格证书且第一注册地在该医疗机构的医师，否则本项不得分。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c>
          <w:tcPr>
            <w:tcW w:w="311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*提供服务的有效期。                                       </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医疗机构执业许可证、中医诊所备案证或军队医疗机构为民服务许可证不在有效期内或失效的，本项不得分。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w:t>
            </w:r>
          </w:p>
        </w:tc>
        <w:tc>
          <w:tcPr>
            <w:tcW w:w="311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*实际经营范围。</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实际经营范围、经营地址与医疗机构执业许可证、营业执照不一致的，本项不得分。 </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27</w:t>
            </w:r>
          </w:p>
        </w:tc>
        <w:tc>
          <w:tcPr>
            <w:tcW w:w="311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*实际开展的床位情况。</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科室实际床位数与医疗机构执业许可证许可的床位数不一致的，本项不得分。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28</w:t>
            </w:r>
          </w:p>
        </w:tc>
        <w:tc>
          <w:tcPr>
            <w:tcW w:w="311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*医务人员证件及注册情况。</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医师、护士、药学及医技等专业技术人员是否持有相对应的执业资格证，有人证不相符或或执业注册情况有异常的，本项均不得分。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51" w:type="dxa"/>
            <w:vMerge w:val="continue"/>
            <w:vAlign w:val="center"/>
          </w:tcPr>
          <w:p>
            <w:pPr>
              <w:widowControl/>
              <w:jc w:val="left"/>
              <w:rPr>
                <w:rFonts w:ascii="宋体" w:hAnsi="宋体" w:eastAsia="宋体" w:cs="宋体"/>
                <w:bCs/>
                <w:color w:val="000000"/>
                <w:kern w:val="0"/>
                <w:sz w:val="16"/>
                <w:szCs w:val="16"/>
              </w:rPr>
            </w:pP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29</w:t>
            </w:r>
          </w:p>
        </w:tc>
        <w:tc>
          <w:tcPr>
            <w:tcW w:w="311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*执业医师与开设的诊疗科目对应情况。</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开设的诊疗科目有相对应专业执业医师的；有1个及以上诊疗科目无对应专业执业医师的本项不得分。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51" w:type="dxa"/>
            <w:shd w:val="clear" w:color="auto" w:fill="FFFFFF"/>
            <w:vAlign w:val="center"/>
          </w:tcPr>
          <w:p>
            <w:pPr>
              <w:widowControl/>
              <w:jc w:val="center"/>
              <w:rPr>
                <w:rFonts w:ascii="宋体" w:hAnsi="宋体" w:eastAsia="宋体" w:cs="宋体"/>
                <w:bCs/>
                <w:color w:val="000000"/>
                <w:kern w:val="0"/>
                <w:sz w:val="16"/>
                <w:szCs w:val="16"/>
              </w:rPr>
            </w:pPr>
            <w:r>
              <w:rPr>
                <w:rFonts w:hint="eastAsia" w:ascii="宋体" w:hAnsi="宋体" w:eastAsia="宋体" w:cs="宋体"/>
                <w:bCs/>
                <w:color w:val="000000"/>
                <w:kern w:val="0"/>
                <w:sz w:val="16"/>
                <w:szCs w:val="16"/>
              </w:rPr>
              <w:t>价格公示</w:t>
            </w:r>
          </w:p>
        </w:tc>
        <w:tc>
          <w:tcPr>
            <w:tcW w:w="505"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w:t>
            </w:r>
          </w:p>
        </w:tc>
        <w:tc>
          <w:tcPr>
            <w:tcW w:w="3113"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医疗服务价格予以公示。</w:t>
            </w:r>
          </w:p>
        </w:tc>
        <w:tc>
          <w:tcPr>
            <w:tcW w:w="567" w:type="dxa"/>
            <w:shd w:val="clear" w:color="auto"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以公示牌、电子触摸屏、计算机查询系统等多种形式公示的得2分；未公示的不得分。</w:t>
            </w:r>
          </w:p>
        </w:tc>
        <w:tc>
          <w:tcPr>
            <w:tcW w:w="567" w:type="dxa"/>
            <w:shd w:val="clear" w:color="auto" w:fill="auto"/>
            <w:vAlign w:val="center"/>
          </w:tcPr>
          <w:p>
            <w:pPr>
              <w:widowControl/>
              <w:jc w:val="left"/>
              <w:rPr>
                <w:rFonts w:ascii="宋体" w:hAnsi="宋体" w:eastAsia="宋体" w:cs="宋体"/>
                <w:color w:val="000000"/>
                <w:kern w:val="0"/>
                <w:sz w:val="16"/>
                <w:szCs w:val="16"/>
              </w:rPr>
            </w:pPr>
          </w:p>
        </w:tc>
        <w:tc>
          <w:tcPr>
            <w:tcW w:w="661" w:type="dxa"/>
            <w:shd w:val="clear" w:color="auto" w:fill="auto"/>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874" w:type="dxa"/>
            <w:gridSpan w:val="7"/>
            <w:shd w:val="clear" w:color="auto" w:fill="auto"/>
            <w:vAlign w:val="center"/>
          </w:tcPr>
          <w:p>
            <w:pPr>
              <w:widowControl/>
              <w:spacing w:line="300" w:lineRule="exact"/>
              <w:jc w:val="center"/>
              <w:rPr>
                <w:rFonts w:ascii="黑体" w:hAnsi="黑体" w:eastAsia="黑体" w:cs="宋体"/>
                <w:bCs/>
                <w:color w:val="000000"/>
                <w:kern w:val="0"/>
                <w:sz w:val="16"/>
                <w:szCs w:val="16"/>
              </w:rPr>
            </w:pPr>
            <w:r>
              <w:rPr>
                <w:rFonts w:hint="eastAsia" w:ascii="黑体" w:hAnsi="黑体" w:eastAsia="黑体" w:cs="宋体"/>
                <w:bCs/>
                <w:color w:val="000000"/>
                <w:kern w:val="0"/>
                <w:sz w:val="16"/>
                <w:szCs w:val="16"/>
              </w:rPr>
              <w:t>三、信息建设 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51" w:type="dxa"/>
            <w:vMerge w:val="restart"/>
            <w:shd w:val="clear" w:color="auto" w:fill="auto"/>
            <w:vAlign w:val="center"/>
          </w:tcPr>
          <w:p>
            <w:pPr>
              <w:widowControl/>
              <w:spacing w:line="300" w:lineRule="exact"/>
              <w:jc w:val="center"/>
              <w:rPr>
                <w:rFonts w:ascii="宋体" w:hAnsi="宋体" w:eastAsia="宋体" w:cs="宋体"/>
                <w:bCs/>
                <w:color w:val="000000"/>
                <w:kern w:val="0"/>
                <w:sz w:val="16"/>
                <w:szCs w:val="16"/>
              </w:rPr>
            </w:pPr>
            <w:r>
              <w:rPr>
                <w:rFonts w:hint="eastAsia" w:ascii="宋体" w:hAnsi="宋体" w:eastAsia="宋体" w:cs="宋体"/>
                <w:bCs/>
                <w:color w:val="000000"/>
                <w:kern w:val="0"/>
                <w:sz w:val="16"/>
                <w:szCs w:val="16"/>
              </w:rPr>
              <w:t>基</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础</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信</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息</w:t>
            </w: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*药品信息。</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进销存信息2分,一项及以上不满足不得分,进销存信息缺失则药品信息不得分；药品基本信息（名称、剂型、剂量、国药准字、生产厂家、包装、包装单位、最小计价单位、单价）1分，一项及以上不满足不得分,如药品信息存在真实性问题此项不得分。</w:t>
            </w:r>
          </w:p>
        </w:tc>
        <w:tc>
          <w:tcPr>
            <w:tcW w:w="567" w:type="dxa"/>
            <w:shd w:val="clear" w:color="auto" w:fill="FFFFFF"/>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FFFFFF"/>
            <w:vAlign w:val="center"/>
          </w:tcPr>
          <w:p>
            <w:pPr>
              <w:widowControl/>
              <w:spacing w:line="300" w:lineRule="exact"/>
              <w:jc w:val="left"/>
              <w:rPr>
                <w:rFonts w:ascii="宋体" w:hAnsi="宋体" w:eastAsia="宋体" w:cs="宋体"/>
                <w:color w:val="000000"/>
                <w:kern w:val="0"/>
                <w:sz w:val="16"/>
                <w:szCs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*耗材信息。</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进销存信息2分，一项及以上不满足不得分，进销存信息缺失则耗材信息不得分；耗材基本信息（名称、规格型号、生产厂家、注册证号、注册证名称、国产/进口、供应商名称）1分，一项及以上不满足不得分，如耗材信息存在真实性问题此项不得分。</w:t>
            </w:r>
          </w:p>
        </w:tc>
        <w:tc>
          <w:tcPr>
            <w:tcW w:w="567" w:type="dxa"/>
            <w:shd w:val="clear" w:color="auto" w:fill="FFFFFF"/>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FFFFFF"/>
            <w:vAlign w:val="center"/>
          </w:tcPr>
          <w:p>
            <w:pPr>
              <w:widowControl/>
              <w:spacing w:line="300" w:lineRule="exact"/>
              <w:jc w:val="left"/>
              <w:rPr>
                <w:rFonts w:ascii="宋体" w:hAnsi="宋体" w:eastAsia="宋体" w:cs="宋体"/>
                <w:color w:val="000000"/>
                <w:kern w:val="0"/>
                <w:sz w:val="16"/>
                <w:szCs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33</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*设备信息。</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设备基本信息（名称、类别、大型设备类别、型号、品牌、产地、配置、购买日期、使用年限），一项及以上不满足不得分，如设备信息存在真实性问题此项不得分。</w:t>
            </w:r>
          </w:p>
        </w:tc>
        <w:tc>
          <w:tcPr>
            <w:tcW w:w="567" w:type="dxa"/>
            <w:shd w:val="clear" w:color="auto" w:fill="FFFFFF"/>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FFFFFF"/>
            <w:vAlign w:val="center"/>
          </w:tcPr>
          <w:p>
            <w:pPr>
              <w:widowControl/>
              <w:spacing w:line="300" w:lineRule="exact"/>
              <w:jc w:val="left"/>
              <w:rPr>
                <w:rFonts w:ascii="宋体" w:hAnsi="宋体" w:eastAsia="宋体" w:cs="宋体"/>
                <w:color w:val="000000"/>
                <w:kern w:val="0"/>
                <w:sz w:val="16"/>
                <w:szCs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34</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*人员基本信息。</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执人员基本信息（姓名、性别、出生日期、民族、有效证件类型、有效证件号码、执业范围、职称、职务、执业证书编码、资格证书编码、执业注册地、联系电话、在该院开始执业时间、在该院结束执业时间），一项及以上不满足不得分，如人员基本信息存在真实性问题此项不得分。</w:t>
            </w:r>
          </w:p>
        </w:tc>
        <w:tc>
          <w:tcPr>
            <w:tcW w:w="567" w:type="dxa"/>
            <w:shd w:val="clear" w:color="auto" w:fill="FFFFFF"/>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FFFFFF"/>
            <w:vAlign w:val="center"/>
          </w:tcPr>
          <w:p>
            <w:pPr>
              <w:widowControl/>
              <w:spacing w:line="300" w:lineRule="exact"/>
              <w:jc w:val="left"/>
              <w:rPr>
                <w:rFonts w:ascii="宋体" w:hAnsi="宋体" w:eastAsia="宋体" w:cs="宋体"/>
                <w:color w:val="000000"/>
                <w:kern w:val="0"/>
                <w:sz w:val="16"/>
                <w:szCs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35</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科室基本信息。</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科室基本信息（科室名称、科室类型、负责人、联系电话、批准床位、成立时间），一项及以上不满足不得分。</w:t>
            </w:r>
          </w:p>
        </w:tc>
        <w:tc>
          <w:tcPr>
            <w:tcW w:w="567" w:type="dxa"/>
            <w:shd w:val="clear" w:color="auto" w:fill="FFFFFF"/>
            <w:vAlign w:val="center"/>
          </w:tcPr>
          <w:p>
            <w:pPr>
              <w:widowControl/>
              <w:spacing w:line="300" w:lineRule="exact"/>
              <w:rPr>
                <w:rFonts w:ascii="宋体" w:hAnsi="宋体" w:eastAsia="宋体" w:cs="宋体"/>
                <w:color w:val="000000"/>
                <w:kern w:val="0"/>
                <w:sz w:val="16"/>
                <w:szCs w:val="16"/>
              </w:rPr>
            </w:pPr>
          </w:p>
        </w:tc>
        <w:tc>
          <w:tcPr>
            <w:tcW w:w="661" w:type="dxa"/>
            <w:shd w:val="clear" w:color="auto" w:fill="FFFFFF"/>
            <w:vAlign w:val="center"/>
          </w:tcPr>
          <w:p>
            <w:pPr>
              <w:widowControl/>
              <w:spacing w:line="300" w:lineRule="exact"/>
              <w:jc w:val="left"/>
              <w:rPr>
                <w:rFonts w:ascii="宋体" w:hAnsi="宋体" w:eastAsia="宋体" w:cs="宋体"/>
                <w:color w:val="000000"/>
                <w:kern w:val="0"/>
                <w:sz w:val="16"/>
                <w:szCs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36</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诊疗项目信息。</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符合物价收费规范得2分。</w:t>
            </w:r>
          </w:p>
        </w:tc>
        <w:tc>
          <w:tcPr>
            <w:tcW w:w="567" w:type="dxa"/>
            <w:shd w:val="clear" w:color="auto" w:fill="FFFFFF"/>
            <w:vAlign w:val="center"/>
          </w:tcPr>
          <w:p>
            <w:pPr>
              <w:widowControl/>
              <w:spacing w:line="300" w:lineRule="exact"/>
              <w:rPr>
                <w:rFonts w:ascii="宋体" w:hAnsi="宋体" w:eastAsia="宋体" w:cs="宋体"/>
                <w:color w:val="000000"/>
                <w:kern w:val="0"/>
                <w:sz w:val="16"/>
                <w:szCs w:val="16"/>
              </w:rPr>
            </w:pPr>
          </w:p>
        </w:tc>
        <w:tc>
          <w:tcPr>
            <w:tcW w:w="661" w:type="dxa"/>
            <w:shd w:val="clear" w:color="auto" w:fill="FFFFFF"/>
            <w:vAlign w:val="center"/>
          </w:tcPr>
          <w:p>
            <w:pPr>
              <w:widowControl/>
              <w:spacing w:line="300" w:lineRule="exact"/>
              <w:jc w:val="left"/>
              <w:rPr>
                <w:rFonts w:ascii="宋体" w:hAnsi="宋体" w:eastAsia="宋体" w:cs="宋体"/>
                <w:color w:val="000000"/>
                <w:kern w:val="0"/>
                <w:sz w:val="16"/>
                <w:szCs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651" w:type="dxa"/>
            <w:vMerge w:val="restart"/>
            <w:shd w:val="clear" w:color="auto" w:fill="auto"/>
            <w:vAlign w:val="center"/>
          </w:tcPr>
          <w:p>
            <w:pPr>
              <w:widowControl/>
              <w:spacing w:line="300" w:lineRule="exact"/>
              <w:jc w:val="center"/>
              <w:rPr>
                <w:rFonts w:ascii="宋体" w:hAnsi="宋体" w:eastAsia="宋体" w:cs="宋体"/>
                <w:bCs/>
                <w:color w:val="000000"/>
                <w:kern w:val="0"/>
                <w:sz w:val="16"/>
                <w:szCs w:val="16"/>
              </w:rPr>
            </w:pPr>
            <w:r>
              <w:rPr>
                <w:rFonts w:hint="eastAsia" w:ascii="宋体" w:hAnsi="宋体" w:eastAsia="宋体" w:cs="宋体"/>
                <w:bCs/>
                <w:color w:val="000000"/>
                <w:kern w:val="0"/>
                <w:sz w:val="16"/>
                <w:szCs w:val="16"/>
              </w:rPr>
              <w:t>结</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算</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管</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理</w:t>
            </w: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37</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*门诊信息。</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具备门诊医生、护士工作站或将门诊病历、处方纳入信息系统进行管理，满足开单医生、开单科室、处方相关项目的上传需要，缺一项扣1分，扣完为止。</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38</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*住院信息。</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具备住院医生、护士工作站或将住院病历、医嘱等信息纳入信息系统进行管理，满足开单医生、开单科室、医嘱相关项目的上传需要，缺一项扣1分，扣完为止。</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39</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*结算信息。</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满足医保联网结算需要,不满足不得分。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shd w:val="clear" w:color="auto" w:fill="auto"/>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651" w:type="dxa"/>
            <w:vMerge w:val="restart"/>
            <w:shd w:val="clear" w:color="auto" w:fill="auto"/>
            <w:vAlign w:val="center"/>
          </w:tcPr>
          <w:p>
            <w:pPr>
              <w:widowControl/>
              <w:spacing w:line="300" w:lineRule="exact"/>
              <w:jc w:val="center"/>
              <w:rPr>
                <w:rFonts w:ascii="宋体" w:hAnsi="宋体" w:eastAsia="宋体" w:cs="宋体"/>
                <w:bCs/>
                <w:color w:val="000000"/>
                <w:kern w:val="0"/>
                <w:sz w:val="16"/>
                <w:szCs w:val="16"/>
              </w:rPr>
            </w:pPr>
            <w:r>
              <w:rPr>
                <w:rFonts w:hint="eastAsia" w:ascii="宋体" w:hAnsi="宋体" w:eastAsia="宋体" w:cs="宋体"/>
                <w:bCs/>
                <w:color w:val="000000"/>
                <w:kern w:val="0"/>
                <w:sz w:val="16"/>
                <w:szCs w:val="16"/>
              </w:rPr>
              <w:t>硬</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件</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及</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网</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络</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配</w:t>
            </w:r>
            <w:r>
              <w:rPr>
                <w:rFonts w:hint="eastAsia" w:ascii="宋体" w:hAnsi="宋体" w:eastAsia="宋体" w:cs="宋体"/>
                <w:bCs/>
                <w:color w:val="000000"/>
                <w:kern w:val="0"/>
                <w:sz w:val="16"/>
                <w:szCs w:val="16"/>
              </w:rPr>
              <w:br w:type="textWrapping"/>
            </w:r>
            <w:r>
              <w:rPr>
                <w:rFonts w:hint="eastAsia" w:ascii="宋体" w:hAnsi="宋体" w:eastAsia="宋体" w:cs="宋体"/>
                <w:bCs/>
                <w:color w:val="000000"/>
                <w:kern w:val="0"/>
                <w:sz w:val="16"/>
                <w:szCs w:val="16"/>
              </w:rPr>
              <w:t>置</w:t>
            </w: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40</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*PC配置。</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数</w:t>
            </w:r>
            <w:r>
              <w:rPr>
                <w:rFonts w:ascii="宋体" w:hAnsi="宋体" w:eastAsia="宋体" w:cs="宋体"/>
                <w:color w:val="000000"/>
                <w:kern w:val="0"/>
                <w:sz w:val="16"/>
              </w:rPr>
              <w:t>量≧2;CPU 主频≧2.0GHZ；内存≧4GB；硬盘空间≧500GB；空闲COM口数量≧1；空闲USB口数量≧4；Windows版本≧Win7；；全部符合的得1分，一项及以上不满足不得分。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vMerge w:val="restart"/>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配置缺失一项及以上不得分。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41</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*打印机配置。</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针式打印机;数量≧1;，得2分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vMerge w:val="continue"/>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42</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*医疗机构信息系统。</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配备符合医保联网结算要求的信息化管理系统和配备信息化管理系统的专管人员，未配备齐全的本项不得分。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vMerge w:val="continue"/>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43</w:t>
            </w:r>
          </w:p>
        </w:tc>
        <w:tc>
          <w:tcPr>
            <w:tcW w:w="3113" w:type="dxa"/>
            <w:shd w:val="clear" w:color="auto" w:fill="FFFFFF"/>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*进销存在管理系统。</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810"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现场随机抽查药品、耗材、设备进销存管理情况，至少需要具备药品、医用耗材等管理功能，未具备的本项不得分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vMerge w:val="continue"/>
            <w:vAlign w:val="center"/>
          </w:tcPr>
          <w:p>
            <w:pPr>
              <w:widowControl/>
              <w:spacing w:line="300" w:lineRule="exact"/>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51" w:type="dxa"/>
            <w:vMerge w:val="continue"/>
            <w:vAlign w:val="center"/>
          </w:tcPr>
          <w:p>
            <w:pPr>
              <w:widowControl/>
              <w:spacing w:line="300" w:lineRule="exact"/>
              <w:jc w:val="left"/>
              <w:rPr>
                <w:rFonts w:ascii="宋体" w:hAnsi="宋体" w:eastAsia="宋体" w:cs="宋体"/>
                <w:bCs/>
                <w:color w:val="000000"/>
                <w:kern w:val="0"/>
                <w:sz w:val="16"/>
                <w:szCs w:val="16"/>
              </w:rPr>
            </w:pPr>
          </w:p>
        </w:tc>
        <w:tc>
          <w:tcPr>
            <w:tcW w:w="505"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44</w:t>
            </w:r>
          </w:p>
        </w:tc>
        <w:tc>
          <w:tcPr>
            <w:tcW w:w="3113" w:type="dxa"/>
            <w:shd w:val="clear" w:color="auto" w:fill="FFFFFF"/>
            <w:vAlign w:val="center"/>
          </w:tcPr>
          <w:p>
            <w:pPr>
              <w:widowControl/>
              <w:spacing w:line="300" w:lineRule="exact"/>
              <w:rPr>
                <w:rFonts w:ascii="宋体" w:hAnsi="宋体" w:eastAsia="宋体" w:cs="宋体"/>
                <w:color w:val="000000"/>
                <w:kern w:val="0"/>
                <w:sz w:val="16"/>
                <w:szCs w:val="16"/>
              </w:rPr>
            </w:pPr>
            <w:r>
              <w:rPr>
                <w:rFonts w:hint="eastAsia" w:ascii="宋体" w:hAnsi="宋体" w:eastAsia="宋体" w:cs="宋体"/>
                <w:color w:val="000000"/>
                <w:kern w:val="0"/>
                <w:sz w:val="16"/>
                <w:szCs w:val="16"/>
              </w:rPr>
              <w:t>网络连接。</w:t>
            </w:r>
          </w:p>
        </w:tc>
        <w:tc>
          <w:tcPr>
            <w:tcW w:w="567" w:type="dxa"/>
            <w:shd w:val="clear" w:color="auto" w:fill="FFFFFF"/>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810"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医疗机构信息系统硬件及网络配置情况，未配备齐全的本项不得分。</w:t>
            </w:r>
          </w:p>
        </w:tc>
        <w:tc>
          <w:tcPr>
            <w:tcW w:w="567" w:type="dxa"/>
            <w:shd w:val="clear" w:color="auto" w:fill="auto"/>
            <w:vAlign w:val="center"/>
          </w:tcPr>
          <w:p>
            <w:pPr>
              <w:widowControl/>
              <w:spacing w:line="300" w:lineRule="exact"/>
              <w:jc w:val="left"/>
              <w:rPr>
                <w:rFonts w:ascii="宋体" w:hAnsi="宋体" w:eastAsia="宋体" w:cs="宋体"/>
                <w:color w:val="000000"/>
                <w:kern w:val="0"/>
                <w:sz w:val="16"/>
                <w:szCs w:val="16"/>
              </w:rPr>
            </w:pPr>
          </w:p>
        </w:tc>
        <w:tc>
          <w:tcPr>
            <w:tcW w:w="661" w:type="dxa"/>
            <w:vMerge w:val="continue"/>
            <w:vAlign w:val="center"/>
          </w:tcPr>
          <w:p>
            <w:pPr>
              <w:widowControl/>
              <w:spacing w:line="300" w:lineRule="exact"/>
              <w:jc w:val="left"/>
              <w:rPr>
                <w:rFonts w:ascii="宋体" w:hAnsi="宋体" w:eastAsia="宋体" w:cs="宋体"/>
                <w:color w:val="000000"/>
                <w:kern w:val="0"/>
                <w:sz w:val="16"/>
                <w:szCs w:val="16"/>
              </w:rPr>
            </w:pPr>
          </w:p>
        </w:tc>
      </w:tr>
    </w:tbl>
    <w:p>
      <w:pPr>
        <w:spacing w:line="340" w:lineRule="exact"/>
        <w:ind w:firstLine="640" w:firstLineChars="200"/>
        <w:rPr>
          <w:rFonts w:hint="eastAsia" w:ascii="仿宋_GB2312" w:eastAsia="仿宋_GB2312"/>
          <w:sz w:val="32"/>
          <w:szCs w:val="32"/>
        </w:rPr>
      </w:pPr>
      <w:r>
        <w:rPr>
          <w:rFonts w:hint="eastAsia" w:ascii="仿宋_GB2312" w:eastAsia="仿宋_GB2312"/>
          <w:sz w:val="32"/>
          <w:szCs w:val="32"/>
        </w:rPr>
        <w:t>备注：1.评分分数以满分100算，85分及以上视为评估合格，</w:t>
      </w:r>
    </w:p>
    <w:p>
      <w:pPr>
        <w:spacing w:line="3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评估不合格的，整改3个月后再次组织评估，评估仍</w:t>
      </w:r>
    </w:p>
    <w:p>
      <w:pPr>
        <w:spacing w:line="3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不合格的，1年内不得再次申请。， </w:t>
      </w:r>
    </w:p>
    <w:p>
      <w:pPr>
        <w:spacing w:line="340" w:lineRule="exact"/>
        <w:rPr>
          <w:rFonts w:hint="eastAsia" w:ascii="仿宋_GB2312" w:eastAsia="仿宋_GB2312"/>
          <w:sz w:val="32"/>
          <w:szCs w:val="32"/>
        </w:rPr>
      </w:pPr>
      <w:r>
        <w:rPr>
          <w:rFonts w:hint="eastAsia" w:ascii="仿宋_GB2312" w:eastAsia="仿宋_GB2312"/>
          <w:sz w:val="32"/>
          <w:szCs w:val="32"/>
        </w:rPr>
        <w:t xml:space="preserve">         2.带“*”指标不得分的，总考核评分为零分；信息存</w:t>
      </w:r>
    </w:p>
    <w:p>
      <w:r>
        <w:rPr>
          <w:rFonts w:hint="eastAsia" w:ascii="仿宋_GB2312" w:eastAsia="仿宋_GB2312"/>
          <w:sz w:val="32"/>
          <w:szCs w:val="32"/>
        </w:rPr>
        <w:t xml:space="preserve">           在真实性问题直接不计分数；</w:t>
      </w:r>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17D5B"/>
    <w:rsid w:val="24171F74"/>
    <w:rsid w:val="33717D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2021-06-24T03:12:00Z</dcterms:created>
  <dc:creator>dengd</dc:creator>
  <cp:lastModifiedBy>dengd</cp:lastModifiedBy>
  <dcterms:modified xsi:type="dcterms:W3CDTF">2021-06-24T03:12:29Z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