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附件</w:t>
      </w:r>
    </w:p>
    <w:p>
      <w:pPr>
        <w:spacing w:line="1600" w:lineRule="exact"/>
        <w:jc w:val="center"/>
        <w:rPr>
          <w:rFonts w:ascii="方正小标宋简体" w:hAnsi="华文中宋" w:eastAsia="方正小标宋简体"/>
          <w:color w:val="FF0000"/>
          <w:spacing w:val="-20"/>
          <w:sz w:val="60"/>
          <w:szCs w:val="56"/>
        </w:rPr>
      </w:pPr>
      <w:r>
        <w:rPr>
          <w:rFonts w:hint="eastAsia" w:ascii="方正小标宋简体" w:hAnsi="华文中宋" w:eastAsia="方正小标宋简体"/>
          <w:color w:val="FF0000"/>
          <w:spacing w:val="-20"/>
          <w:sz w:val="60"/>
          <w:szCs w:val="56"/>
        </w:rPr>
        <w:t>广 西 壮 族 自 治 区</w:t>
      </w:r>
    </w:p>
    <w:p>
      <w:pPr>
        <w:spacing w:line="1600" w:lineRule="exact"/>
        <w:jc w:val="distribute"/>
        <w:rPr>
          <w:rFonts w:ascii="方正小标宋简体" w:hAnsi="华文中宋" w:eastAsia="方正小标宋简体"/>
          <w:color w:val="FF0000"/>
          <w:spacing w:val="-20"/>
          <w:sz w:val="96"/>
          <w:szCs w:val="96"/>
        </w:rPr>
      </w:pPr>
      <w:r>
        <w:rPr>
          <w:rFonts w:hint="eastAsia" w:ascii="方正小标宋简体" w:hAnsi="华文中宋" w:eastAsia="方正小标宋简体"/>
          <w:color w:val="FF0000"/>
          <w:spacing w:val="-20"/>
          <w:sz w:val="96"/>
          <w:szCs w:val="96"/>
        </w:rPr>
        <w:t>医疗保障局文件</w:t>
      </w:r>
    </w:p>
    <w:p>
      <w:pPr>
        <w:spacing w:line="800" w:lineRule="exact"/>
        <w:rPr>
          <w:rFonts w:ascii="仿宋_GB2312" w:eastAsia="仿宋_GB2312"/>
          <w:spacing w:val="-20"/>
          <w:sz w:val="32"/>
        </w:rPr>
      </w:pPr>
    </w:p>
    <w:p>
      <w:pPr>
        <w:jc w:val="center"/>
        <w:rPr>
          <w:rFonts w:ascii="仿宋_GB2312" w:hAnsi="黑体" w:eastAsia="仿宋_GB2312"/>
          <w:sz w:val="32"/>
          <w:szCs w:val="32"/>
        </w:rPr>
      </w:pPr>
      <w:r>
        <w:rPr>
          <w:rFonts w:hint="eastAsia" w:ascii="仿宋_GB2312" w:hAnsi="黑体" w:eastAsia="仿宋_GB2312"/>
          <w:sz w:val="32"/>
          <w:szCs w:val="32"/>
        </w:rPr>
        <w:t>桂医保发〔2021〕34号</w:t>
      </w:r>
    </w:p>
    <w:p>
      <w:pPr>
        <w:spacing w:line="440" w:lineRule="exact"/>
        <w:rPr>
          <w:sz w:val="37"/>
        </w:rPr>
      </w:pPr>
      <w:r>
        <w:rPr>
          <w:rFonts w:ascii="等线" w:hAnsi="等线" w:eastAsia="等线"/>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61595</wp:posOffset>
                </wp:positionV>
                <wp:extent cx="5772150" cy="19050"/>
                <wp:effectExtent l="0" t="0" r="0" b="0"/>
                <wp:wrapSquare wrapText="bothSides"/>
                <wp:docPr id="1" name="任意多边形 2"/>
                <wp:cNvGraphicFramePr/>
                <a:graphic xmlns:a="http://schemas.openxmlformats.org/drawingml/2006/main">
                  <a:graphicData uri="http://schemas.microsoft.com/office/word/2010/wordprocessingShape">
                    <wps:wsp>
                      <wps:cNvSpPr/>
                      <wps:spPr>
                        <a:xfrm>
                          <a:off x="0" y="0"/>
                          <a:ext cx="5772150" cy="19050"/>
                        </a:xfrm>
                        <a:custGeom>
                          <a:avLst/>
                          <a:gdLst/>
                          <a:ahLst/>
                          <a:cxnLst/>
                          <a:pathLst>
                            <a:path w="9090" h="30">
                              <a:moveTo>
                                <a:pt x="0" y="0"/>
                              </a:moveTo>
                              <a:lnTo>
                                <a:pt x="9090" y="30"/>
                              </a:lnTo>
                            </a:path>
                          </a:pathLst>
                        </a:custGeom>
                        <a:noFill/>
                        <a:ln w="28575" cap="flat" cmpd="sng">
                          <a:solidFill>
                            <a:srgbClr val="FF0000"/>
                          </a:solidFill>
                          <a:prstDash val="solid"/>
                          <a:headEnd type="none" w="med" len="med"/>
                          <a:tailEnd type="none" w="med" len="med"/>
                        </a:ln>
                      </wps:spPr>
                      <wps:bodyPr upright="1"/>
                    </wps:wsp>
                  </a:graphicData>
                </a:graphic>
              </wp:anchor>
            </w:drawing>
          </mc:Choice>
          <mc:Fallback>
            <w:pict>
              <v:shape id="任意多边形 2" o:spid="_x0000_s1026" o:spt="100" style="position:absolute;left:0pt;margin-left:0.85pt;margin-top:4.85pt;height:1.5pt;width:454.5pt;mso-wrap-distance-bottom:0pt;mso-wrap-distance-left:9pt;mso-wrap-distance-right:9pt;mso-wrap-distance-top:0pt;z-index:251663360;mso-width-relative:page;mso-height-relative:page;" filled="f" stroked="t" coordsize="9090,30" o:gfxdata="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zbgbV1QAAAAYBAAAP&#10;AAAAAAAAAAEAIAAAACIAAABkcnMvZG93bnJldi54bWxQSwECFAAUAAAACACHTuJAaO4WhRsCAABB&#10;BAAADgAAAAAAAAABACAAAAAkAQAAZHJzL2Uyb0RvYy54bWxQSwUGAAAAAAYABgBZAQAAsQUAAAAA&#10;" path="m0,0l9090,30e">
                <v:path arrowok="t"/>
                <v:fill on="f" focussize="0,0"/>
                <v:stroke weight="2.25pt" color="#FF0000"/>
                <v:imagedata o:title=""/>
                <o:lock v:ext="edit"/>
                <w10:wrap type="square"/>
              </v:shape>
            </w:pict>
          </mc:Fallback>
        </mc:AlternateContent>
      </w:r>
    </w:p>
    <w:p>
      <w:pPr>
        <w:spacing w:line="54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广西壮</w:t>
      </w:r>
      <w:bookmarkStart w:id="0" w:name="_GoBack"/>
      <w:bookmarkEnd w:id="0"/>
      <w:r>
        <w:rPr>
          <w:rFonts w:hint="eastAsia" w:ascii="方正小标宋简体" w:hAnsi="黑体" w:eastAsia="方正小标宋简体" w:cs="黑体"/>
          <w:sz w:val="44"/>
          <w:szCs w:val="44"/>
        </w:rPr>
        <w:t>族自治区医疗保障局关于印发医疗保障评审专家管理暂行办法的通知</w:t>
      </w:r>
    </w:p>
    <w:p>
      <w:pPr>
        <w:spacing w:line="540" w:lineRule="exact"/>
        <w:jc w:val="left"/>
        <w:rPr>
          <w:rFonts w:ascii="仿宋_GB2312" w:hAnsi="仿宋" w:eastAsia="仿宋_GB2312" w:cs="仿宋"/>
          <w:sz w:val="32"/>
          <w:szCs w:val="32"/>
        </w:rPr>
      </w:pPr>
    </w:p>
    <w:p>
      <w:pPr>
        <w:spacing w:line="540" w:lineRule="exact"/>
        <w:jc w:val="left"/>
        <w:rPr>
          <w:rFonts w:ascii="仿宋_GB2312" w:hAnsi="仿宋" w:eastAsia="仿宋_GB2312" w:cs="仿宋"/>
          <w:color w:val="FF0000"/>
          <w:sz w:val="32"/>
          <w:szCs w:val="32"/>
        </w:rPr>
      </w:pPr>
      <w:r>
        <w:rPr>
          <w:rFonts w:hint="eastAsia" w:ascii="仿宋_GB2312" w:hAnsi="仿宋" w:eastAsia="仿宋_GB2312" w:cs="仿宋"/>
          <w:sz w:val="32"/>
          <w:szCs w:val="32"/>
        </w:rPr>
        <w:t>各市医疗保障局、各级定点医疗机构、各有关单位：</w:t>
      </w:r>
    </w:p>
    <w:p>
      <w:pPr>
        <w:spacing w:line="54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为加强广西壮族自治区医疗保障局各类评审专家管理，充分发挥专业人才优势，促进医疗保障事业高质量发展，经研究，我局制定了《广西壮族自治区医疗保障局医疗保障评审专家管理暂行办法》，现印发给你们，请遵照执行。</w:t>
      </w:r>
    </w:p>
    <w:p>
      <w:pPr>
        <w:spacing w:line="600" w:lineRule="exact"/>
        <w:ind w:firstLine="640" w:firstLineChars="200"/>
        <w:jc w:val="left"/>
        <w:rPr>
          <w:rFonts w:hint="eastAsia" w:ascii="仿宋_GB2312" w:hAnsi="仿宋" w:eastAsia="仿宋_GB2312" w:cs="仿宋"/>
          <w:sz w:val="32"/>
          <w:szCs w:val="32"/>
        </w:rPr>
      </w:pPr>
    </w:p>
    <w:p>
      <w:pPr>
        <w:spacing w:line="600" w:lineRule="exact"/>
        <w:ind w:firstLine="640" w:firstLineChars="200"/>
        <w:jc w:val="left"/>
        <w:rPr>
          <w:rFonts w:ascii="仿宋_GB2312" w:hAnsi="仿宋" w:eastAsia="仿宋_GB2312" w:cs="仿宋"/>
          <w:sz w:val="32"/>
          <w:szCs w:val="32"/>
        </w:rPr>
      </w:pPr>
    </w:p>
    <w:p>
      <w:pPr>
        <w:spacing w:line="600" w:lineRule="exact"/>
        <w:ind w:firstLine="640" w:firstLineChars="200"/>
        <w:jc w:val="left"/>
        <w:rPr>
          <w:rFonts w:ascii="仿宋_GB2312" w:hAnsi="仿宋" w:eastAsia="仿宋_GB2312" w:cs="仿宋"/>
          <w:sz w:val="32"/>
          <w:szCs w:val="32"/>
        </w:rPr>
      </w:pPr>
    </w:p>
    <w:p>
      <w:pPr>
        <w:spacing w:line="540" w:lineRule="exact"/>
        <w:ind w:right="640" w:firstLine="640" w:firstLineChars="200"/>
        <w:jc w:val="right"/>
        <w:rPr>
          <w:rFonts w:ascii="仿宋_GB2312" w:hAnsi="仿宋" w:eastAsia="仿宋_GB2312" w:cs="仿宋"/>
          <w:sz w:val="32"/>
          <w:szCs w:val="32"/>
        </w:rPr>
      </w:pPr>
      <w:r>
        <w:rPr>
          <w:rFonts w:hint="eastAsia" w:ascii="仿宋_GB2312" w:hAnsi="仿宋" w:eastAsia="仿宋_GB2312" w:cs="仿宋"/>
          <w:sz w:val="32"/>
          <w:szCs w:val="32"/>
        </w:rPr>
        <w:t>广西壮族自治区医疗保障局</w:t>
      </w:r>
    </w:p>
    <w:p>
      <w:pPr>
        <w:spacing w:line="540" w:lineRule="exact"/>
        <w:ind w:firstLine="640" w:firstLineChars="200"/>
        <w:jc w:val="center"/>
        <w:rPr>
          <w:rFonts w:ascii="仿宋_GB2312" w:hAnsi="仿宋" w:eastAsia="仿宋_GB2312" w:cs="仿宋"/>
          <w:sz w:val="32"/>
          <w:szCs w:val="32"/>
        </w:rPr>
      </w:pPr>
      <w:r>
        <w:rPr>
          <w:rFonts w:hint="eastAsia" w:ascii="仿宋_GB2312" w:hAnsi="仿宋" w:eastAsia="仿宋_GB2312" w:cs="仿宋"/>
          <w:sz w:val="32"/>
          <w:szCs w:val="32"/>
        </w:rPr>
        <w:t xml:space="preserve">                    2021年9月4日</w:t>
      </w:r>
    </w:p>
    <w:p>
      <w:pPr>
        <w:spacing w:line="540" w:lineRule="exact"/>
        <w:ind w:firstLine="640" w:firstLineChars="200"/>
        <w:jc w:val="center"/>
        <w:rPr>
          <w:rFonts w:ascii="仿宋_GB2312" w:hAnsi="仿宋" w:eastAsia="仿宋_GB2312" w:cs="仿宋"/>
          <w:sz w:val="32"/>
          <w:szCs w:val="32"/>
        </w:rPr>
      </w:pPr>
    </w:p>
    <w:p>
      <w:pPr>
        <w:spacing w:line="560" w:lineRule="exact"/>
        <w:jc w:val="center"/>
        <w:rPr>
          <w:rFonts w:ascii="黑体" w:hAnsi="黑体" w:eastAsia="黑体" w:cs="黑体"/>
          <w:sz w:val="44"/>
          <w:szCs w:val="44"/>
        </w:rPr>
      </w:pPr>
      <w:r>
        <w:rPr>
          <w:rFonts w:hint="eastAsia" w:ascii="黑体" w:hAnsi="黑体" w:eastAsia="黑体" w:cs="黑体"/>
          <w:sz w:val="44"/>
          <w:szCs w:val="44"/>
        </w:rPr>
        <w:t>广西壮族自治区医疗保障局医疗保障</w:t>
      </w:r>
    </w:p>
    <w:p>
      <w:pPr>
        <w:spacing w:line="560" w:lineRule="exact"/>
        <w:jc w:val="center"/>
        <w:rPr>
          <w:rFonts w:ascii="黑体" w:hAnsi="黑体" w:eastAsia="黑体" w:cs="黑体"/>
          <w:sz w:val="44"/>
          <w:szCs w:val="44"/>
        </w:rPr>
      </w:pPr>
      <w:r>
        <w:rPr>
          <w:rFonts w:hint="eastAsia" w:ascii="黑体" w:hAnsi="黑体" w:eastAsia="黑体" w:cs="黑体"/>
          <w:sz w:val="44"/>
          <w:szCs w:val="44"/>
        </w:rPr>
        <w:t>评审专家管理暂行办法</w:t>
      </w: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r>
        <w:rPr>
          <w:rFonts w:hint="eastAsia" w:ascii="黑体" w:hAnsi="黑体" w:eastAsia="黑体" w:cs="黑体"/>
          <w:sz w:val="32"/>
          <w:szCs w:val="32"/>
        </w:rPr>
        <w:t>第一章 总则</w:t>
      </w:r>
    </w:p>
    <w:p>
      <w:pPr>
        <w:spacing w:line="560" w:lineRule="exact"/>
        <w:jc w:val="left"/>
        <w:rPr>
          <w:rFonts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b/>
          <w:bCs/>
          <w:sz w:val="32"/>
          <w:szCs w:val="32"/>
        </w:rPr>
        <w:t>第一条</w:t>
      </w:r>
      <w:r>
        <w:rPr>
          <w:rFonts w:hint="eastAsia" w:ascii="仿宋_GB2312" w:hAnsi="仿宋" w:eastAsia="仿宋_GB2312" w:cs="仿宋"/>
          <w:sz w:val="32"/>
          <w:szCs w:val="32"/>
        </w:rPr>
        <w:t xml:space="preserve"> 为加强广西壮族自治区医疗保障局（以下简称自治区医保局）各类评审专家管理，充分发挥专业人才优势，促进医疗保障事业高质量发展，依据相关规定，结合工作实际，制定本办法。</w:t>
      </w:r>
    </w:p>
    <w:p>
      <w:pPr>
        <w:spacing w:line="56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第二条</w:t>
      </w:r>
      <w:r>
        <w:rPr>
          <w:rFonts w:hint="eastAsia" w:ascii="仿宋_GB2312" w:hAnsi="仿宋" w:eastAsia="仿宋_GB2312" w:cs="仿宋"/>
          <w:sz w:val="32"/>
          <w:szCs w:val="32"/>
        </w:rPr>
        <w:t xml:space="preserve"> 本办法适用于自治区医保局各类评审专家（以下简称评审专家）的管理和使用。评审专家涵盖政府采购、医疗医药、医保管理、财务管理、商业保险、信息技术、医药价格管理、药品耗材采购等职业或者行业的专业技术人员，并通过设立评审专家库管理。</w:t>
      </w:r>
    </w:p>
    <w:p>
      <w:pPr>
        <w:spacing w:line="56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第三条</w:t>
      </w:r>
      <w:r>
        <w:rPr>
          <w:rFonts w:hint="eastAsia" w:ascii="仿宋_GB2312" w:hAnsi="仿宋" w:eastAsia="仿宋_GB2312" w:cs="仿宋"/>
          <w:sz w:val="32"/>
          <w:szCs w:val="32"/>
        </w:rPr>
        <w:t xml:space="preserve"> 本办法所称评审专家是指符合本办法规定的条件和要求，在日常工作中因工作需要或特殊、紧急情况需要，经审核认定进入自治区医保局评审专家库并以独立身份参加相关评审、论证和咨询的专业人员。</w:t>
      </w:r>
    </w:p>
    <w:p>
      <w:pPr>
        <w:spacing w:line="560" w:lineRule="exact"/>
        <w:jc w:val="center"/>
        <w:rPr>
          <w:rFonts w:ascii="黑体" w:hAnsi="黑体" w:eastAsia="黑体" w:cs="黑体"/>
          <w:sz w:val="44"/>
          <w:szCs w:val="44"/>
        </w:rPr>
      </w:pPr>
      <w:r>
        <w:rPr>
          <w:rFonts w:hint="eastAsia" w:ascii="黑体" w:hAnsi="黑体" w:eastAsia="黑体" w:cs="黑体"/>
          <w:sz w:val="32"/>
          <w:szCs w:val="32"/>
        </w:rPr>
        <w:t>第二章 评审专家入库资格及管理</w:t>
      </w:r>
    </w:p>
    <w:p>
      <w:pPr>
        <w:spacing w:line="56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第四条</w:t>
      </w:r>
      <w:r>
        <w:rPr>
          <w:rFonts w:hint="eastAsia" w:ascii="仿宋_GB2312" w:hAnsi="仿宋" w:eastAsia="仿宋_GB2312" w:cs="仿宋"/>
          <w:sz w:val="32"/>
          <w:szCs w:val="32"/>
        </w:rPr>
        <w:t xml:space="preserve"> 评审专家入库资格应当具备以下条件：</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（一）政治立场坚定，拥护中国共产党的领导。遵守国家法律法规和规章制度，具备完全民事行为能力，无不良职业道德及违反诚信的记录，无受到党纪政纪处分、单位内部组织处理的记录。</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二）熟悉相关领域的政策法规；具有专业中、高级技术职称或专业执业资格；从事相关行业、专业领域工作满3年，或在相关行业、专业领域有一定的知名度或影响力。在必要的情况下，经自治区医保局批准可适当放宽条件。</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（三）年龄70周岁以下，身体健康。</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（四）承诺认真、公正、诚实、廉洁地以独立身份参加评审和咨询工作，并自愿接受审计与纪检、行业协会等相关部门的监督管理。</w:t>
      </w:r>
    </w:p>
    <w:p>
      <w:pPr>
        <w:spacing w:line="560" w:lineRule="exact"/>
        <w:jc w:val="left"/>
        <w:rPr>
          <w:rFonts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b/>
          <w:bCs/>
          <w:sz w:val="32"/>
          <w:szCs w:val="32"/>
        </w:rPr>
        <w:t>第五条</w:t>
      </w:r>
      <w:r>
        <w:rPr>
          <w:rFonts w:hint="eastAsia" w:ascii="仿宋_GB2312" w:hAnsi="仿宋" w:eastAsia="仿宋_GB2312" w:cs="仿宋"/>
          <w:sz w:val="32"/>
          <w:szCs w:val="32"/>
        </w:rPr>
        <w:t xml:space="preserve"> 评审专家库按专业类别分组管理，包括：政府采购类、医疗医药类、医保管理类、财务管理类、商业保险类、信息技术类、医药价格管理类、药品耗材采购类等。</w:t>
      </w:r>
    </w:p>
    <w:p>
      <w:pPr>
        <w:spacing w:line="560" w:lineRule="exact"/>
        <w:jc w:val="left"/>
        <w:rPr>
          <w:rFonts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b/>
          <w:bCs/>
          <w:sz w:val="32"/>
          <w:szCs w:val="32"/>
        </w:rPr>
        <w:t>第六条</w:t>
      </w:r>
      <w:r>
        <w:rPr>
          <w:rFonts w:hint="eastAsia" w:ascii="仿宋_GB2312" w:hAnsi="仿宋" w:eastAsia="仿宋_GB2312" w:cs="仿宋"/>
          <w:sz w:val="32"/>
          <w:szCs w:val="32"/>
        </w:rPr>
        <w:t xml:space="preserve"> 评审专家采取自我推荐、专家推荐和单位推荐相结合的方式申报。申请入库专家需提交以下材料：</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（一）《广西壮族自治区医疗保障局评审专家申请表》。</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（二）本人身份证、毕业证或者学位证、专业技术职称资格证书、专业执业资格证书或者能够证明本人技术能力的文件，所述材料需提供复印件。</w:t>
      </w:r>
    </w:p>
    <w:p>
      <w:pPr>
        <w:spacing w:line="56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第七条</w:t>
      </w:r>
      <w:r>
        <w:rPr>
          <w:rFonts w:hint="eastAsia" w:ascii="仿宋_GB2312" w:hAnsi="仿宋" w:eastAsia="仿宋_GB2312" w:cs="仿宋"/>
          <w:sz w:val="32"/>
          <w:szCs w:val="32"/>
        </w:rPr>
        <w:t xml:space="preserve"> 符合评审专家资格条件的各类专业人员，经自治区医保局审核认定后纳入评审专家库管理，正式成为我局受聘专家并颁发证书。</w:t>
      </w:r>
    </w:p>
    <w:p>
      <w:pPr>
        <w:spacing w:line="560" w:lineRule="exact"/>
        <w:jc w:val="left"/>
        <w:rPr>
          <w:rFonts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b/>
          <w:bCs/>
          <w:sz w:val="32"/>
          <w:szCs w:val="32"/>
        </w:rPr>
        <w:t>第八条</w:t>
      </w:r>
      <w:r>
        <w:rPr>
          <w:rFonts w:hint="eastAsia" w:ascii="仿宋_GB2312" w:hAnsi="仿宋" w:eastAsia="仿宋_GB2312" w:cs="仿宋"/>
          <w:sz w:val="32"/>
          <w:szCs w:val="32"/>
        </w:rPr>
        <w:t xml:space="preserve"> 评审专家由自治区医保局审核、维护并持续更新。检验复审合格的可以续聘；经检验复审不合格的，取消评审专家资格。</w:t>
      </w:r>
    </w:p>
    <w:p>
      <w:pPr>
        <w:spacing w:line="560" w:lineRule="exact"/>
        <w:jc w:val="left"/>
        <w:rPr>
          <w:rFonts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b/>
          <w:bCs/>
          <w:sz w:val="32"/>
          <w:szCs w:val="32"/>
        </w:rPr>
        <w:t>第九条</w:t>
      </w:r>
      <w:r>
        <w:rPr>
          <w:rFonts w:hint="eastAsia" w:ascii="仿宋_GB2312" w:hAnsi="仿宋" w:eastAsia="仿宋_GB2312" w:cs="仿宋"/>
          <w:sz w:val="32"/>
          <w:szCs w:val="32"/>
        </w:rPr>
        <w:t xml:space="preserve"> 评审专家资格检验复审工作应当包括以下内容：</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（一）是否仍从事与相关技术资格相匹配的工作。</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（二）在参加评审工作中是否严格遵守客观公正等职业道德规范，认真履行自己的职责。</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（三）有无违反本办法规定或其他违纪违法不良记录。</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（四）根据评审工作的需要调整专家库的规模和结构。</w:t>
      </w:r>
    </w:p>
    <w:p>
      <w:pPr>
        <w:spacing w:line="56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第十条</w:t>
      </w:r>
      <w:r>
        <w:rPr>
          <w:rFonts w:hint="eastAsia" w:ascii="仿宋_GB2312" w:hAnsi="仿宋" w:eastAsia="仿宋_GB2312" w:cs="仿宋"/>
          <w:sz w:val="32"/>
          <w:szCs w:val="32"/>
        </w:rPr>
        <w:t xml:space="preserve"> 评审专家实行动态管理。发现不胜任项目评审、 论证和咨询工作的，或者有违法违规违纪行为的，以及本人提出不再担任评审专家申请的，自治区医保局可以随时解除评审专家资格。</w:t>
      </w:r>
    </w:p>
    <w:p>
      <w:pPr>
        <w:spacing w:line="560" w:lineRule="exact"/>
        <w:jc w:val="center"/>
        <w:rPr>
          <w:rFonts w:ascii="黑体" w:hAnsi="黑体" w:eastAsia="黑体" w:cs="黑体"/>
          <w:sz w:val="32"/>
          <w:szCs w:val="32"/>
        </w:rPr>
      </w:pPr>
      <w:r>
        <w:rPr>
          <w:rFonts w:hint="eastAsia" w:ascii="黑体" w:hAnsi="黑体" w:eastAsia="黑体" w:cs="黑体"/>
          <w:sz w:val="32"/>
          <w:szCs w:val="32"/>
        </w:rPr>
        <w:t>第三章 评审专家的权利及义务</w:t>
      </w:r>
    </w:p>
    <w:p>
      <w:pPr>
        <w:spacing w:line="56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第十一条</w:t>
      </w:r>
      <w:r>
        <w:rPr>
          <w:rFonts w:hint="eastAsia" w:ascii="仿宋_GB2312" w:hAnsi="仿宋" w:eastAsia="仿宋_GB2312" w:cs="仿宋"/>
          <w:sz w:val="32"/>
          <w:szCs w:val="32"/>
        </w:rPr>
        <w:t xml:space="preserve"> 评审专家享有以下权利：</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（一）对参与的项目，按规定获得与履行职责相关的信息资料、文件等。</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（二）对参与的项目，独立发表意见和建议。</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（三）按规定获得相应的劳务报酬。</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（四）法律、法规和规章规定的其他权利。</w:t>
      </w:r>
    </w:p>
    <w:p>
      <w:pPr>
        <w:spacing w:line="56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第十二条</w:t>
      </w:r>
      <w:r>
        <w:rPr>
          <w:rFonts w:hint="eastAsia" w:ascii="仿宋_GB2312" w:hAnsi="仿宋" w:eastAsia="仿宋_GB2312" w:cs="仿宋"/>
          <w:sz w:val="32"/>
          <w:szCs w:val="32"/>
        </w:rPr>
        <w:t xml:space="preserve"> 评审专家承担以下义务：</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（一）坚持社会主义核心价值观。严格遵守国家法律法规、行业制度规范、行业自律公约、公民道德规范，在评审工作中能够坚持客观、公正立场，自觉维护国家和社会公众利益。</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（二）坚持原则，坚守专业标准，廉洁履行职责。对参与评审的项目，坚持从国家法律法规和制度规范统一规定的 本专业标准角度进行评判，及时提供科学合理、客观公正的评审意见，并予签字确认。</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（三）严格保守秘密。严禁泄漏、擅自使用知悉的项目信息和商业信息。</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（四）配合自治区医保局解答参与项目有关问题的询问和质疑。</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（五）法律、法规和规章规定的其他义务。</w:t>
      </w:r>
    </w:p>
    <w:p>
      <w:pPr>
        <w:spacing w:line="56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第十三条</w:t>
      </w:r>
      <w:r>
        <w:rPr>
          <w:rFonts w:hint="eastAsia" w:ascii="仿宋_GB2312" w:hAnsi="仿宋" w:eastAsia="仿宋_GB2312" w:cs="仿宋"/>
          <w:sz w:val="32"/>
          <w:szCs w:val="32"/>
        </w:rPr>
        <w:t xml:space="preserve"> 评审专家应当遵守以下工作纪律：</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（一）按时参加工作。遇特殊情况不能出席或途中遇阻不能按时参加的，应及时告知管理部门。</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二）执行回避规定。对与自己有利害关系的项目，应及时主动回避。有利害关系主要是指本人及其配偶和直系亲属三年内曾在项目关联单位中任职或担任顾问，或与关联单位发生过法律纠纷，以及其他可能影响公正评审的情况。</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（三）严格执行相关国家政策规定、制度规范和标准流程，认真听取各方的合理要求，提出科学合理、无倾向性和歧视性的意见建议，并承担个人责任。</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（四）按规定在评审前签署《专家承诺书》。</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（五）其他应遵守的工作纪律。</w:t>
      </w:r>
    </w:p>
    <w:p>
      <w:pPr>
        <w:spacing w:line="56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第十四条</w:t>
      </w:r>
      <w:r>
        <w:rPr>
          <w:rFonts w:hint="eastAsia" w:ascii="仿宋_GB2312" w:hAnsi="仿宋" w:eastAsia="仿宋_GB2312" w:cs="仿宋"/>
          <w:sz w:val="32"/>
          <w:szCs w:val="32"/>
        </w:rPr>
        <w:t xml:space="preserve">  评审专家工作单位、专业技术职称、联系方式等个人信息发生变化，应及时告知自治区医保局。</w:t>
      </w:r>
    </w:p>
    <w:p>
      <w:pPr>
        <w:spacing w:line="560" w:lineRule="exact"/>
        <w:jc w:val="center"/>
        <w:rPr>
          <w:rFonts w:ascii="黑体" w:hAnsi="黑体" w:eastAsia="黑体" w:cs="黑体"/>
          <w:sz w:val="32"/>
          <w:szCs w:val="32"/>
        </w:rPr>
      </w:pPr>
      <w:r>
        <w:rPr>
          <w:rFonts w:hint="eastAsia" w:ascii="黑体" w:hAnsi="黑体" w:eastAsia="黑体" w:cs="黑体"/>
          <w:sz w:val="32"/>
          <w:szCs w:val="32"/>
        </w:rPr>
        <w:t>第四章 评审专家的评审内容和劳务报酬</w:t>
      </w:r>
    </w:p>
    <w:p>
      <w:pPr>
        <w:spacing w:line="56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第十五条</w:t>
      </w:r>
      <w:r>
        <w:rPr>
          <w:rFonts w:hint="eastAsia" w:ascii="仿宋_GB2312" w:hAnsi="仿宋" w:eastAsia="仿宋_GB2312" w:cs="仿宋"/>
          <w:sz w:val="32"/>
          <w:szCs w:val="32"/>
        </w:rPr>
        <w:t xml:space="preserve"> 评审专家评审项目及内容、劳务报酬按照《自治区财政厅关于印发广西壮族自治区政府采购评审专家劳务报酬支付标准暂行规定的通知》（桂财采</w:t>
      </w:r>
      <w:r>
        <w:rPr>
          <w:rFonts w:hint="eastAsia" w:ascii="仿宋_GB2312" w:hAnsi="仿宋_GB2312" w:eastAsia="仿宋_GB2312" w:cs="仿宋_GB2312"/>
          <w:sz w:val="32"/>
          <w:szCs w:val="32"/>
        </w:rPr>
        <w:t>〔2017〕</w:t>
      </w:r>
      <w:r>
        <w:rPr>
          <w:rFonts w:hint="eastAsia" w:ascii="仿宋_GB2312" w:hAnsi="仿宋" w:eastAsia="仿宋_GB2312" w:cs="仿宋"/>
          <w:sz w:val="32"/>
          <w:szCs w:val="32"/>
        </w:rPr>
        <w:t>15号）及《自治区医保局 自治区人社厅 自治区财政厅关于印发广西壮族自治区医疗保障评审劳务费管理暂行办法的通知》（桂医保发</w:t>
      </w:r>
      <w:r>
        <w:rPr>
          <w:rFonts w:hint="eastAsia" w:ascii="仿宋_GB2312" w:hAnsi="仿宋_GB2312" w:eastAsia="仿宋_GB2312" w:cs="仿宋_GB2312"/>
          <w:sz w:val="32"/>
          <w:szCs w:val="32"/>
        </w:rPr>
        <w:t>〔2019〕</w:t>
      </w:r>
      <w:r>
        <w:rPr>
          <w:rFonts w:hint="eastAsia" w:ascii="仿宋_GB2312" w:hAnsi="仿宋" w:eastAsia="仿宋_GB2312" w:cs="仿宋"/>
          <w:sz w:val="32"/>
          <w:szCs w:val="32"/>
        </w:rPr>
        <w:t>56号）的规定执行。</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若今后国家与自治区涉及相关政策调整的，从其规定。 </w:t>
      </w:r>
    </w:p>
    <w:p>
      <w:pPr>
        <w:spacing w:line="560" w:lineRule="exact"/>
        <w:jc w:val="center"/>
        <w:rPr>
          <w:rFonts w:ascii="黑体" w:hAnsi="黑体" w:eastAsia="黑体" w:cs="黑体"/>
          <w:sz w:val="32"/>
          <w:szCs w:val="32"/>
        </w:rPr>
      </w:pPr>
      <w:r>
        <w:rPr>
          <w:rFonts w:hint="eastAsia" w:ascii="黑体" w:hAnsi="黑体" w:eastAsia="黑体" w:cs="黑体"/>
          <w:sz w:val="32"/>
          <w:szCs w:val="32"/>
        </w:rPr>
        <w:t>第五章 违规处理</w:t>
      </w:r>
    </w:p>
    <w:p>
      <w:pPr>
        <w:spacing w:line="56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第十六条</w:t>
      </w:r>
      <w:r>
        <w:rPr>
          <w:rFonts w:hint="eastAsia" w:ascii="仿宋_GB2312" w:hAnsi="仿宋" w:eastAsia="仿宋_GB2312" w:cs="仿宋"/>
          <w:sz w:val="32"/>
          <w:szCs w:val="32"/>
        </w:rPr>
        <w:t xml:space="preserve"> 评审专家有下列情形之一的，取消评审专家资格：</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（一）无正当理由拒绝参加评审的；</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（二）发现评审专家申报事项不实的；</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（三）泄露评审工作信息或收取不正当利益；</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（四）弄虚作假骗取评审专家资格的；</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（五）不配合自治区医保局工作的，妨碍各项工作正常开展的；</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（六）以评审专家身份从事影响评审公信力行为的；</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（七）评审中未能履行应尽义务或者违反评审工作纪律，出现重大失误、产生恶劣影响、导致各项工作被动、不利的。</w:t>
      </w:r>
    </w:p>
    <w:p>
      <w:pPr>
        <w:spacing w:line="56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第十七条</w:t>
      </w:r>
      <w:r>
        <w:rPr>
          <w:rFonts w:hint="eastAsia" w:ascii="仿宋_GB2312" w:hAnsi="仿宋" w:eastAsia="仿宋_GB2312" w:cs="仿宋"/>
          <w:sz w:val="32"/>
          <w:szCs w:val="32"/>
        </w:rPr>
        <w:t xml:space="preserve"> 本办法未规定的评审专家违规处罚事宜，其他法律、法规、规章制度有规定的，依照其他法律、法规、规章制度执行。</w:t>
      </w:r>
    </w:p>
    <w:p>
      <w:pPr>
        <w:spacing w:line="560" w:lineRule="exact"/>
        <w:jc w:val="center"/>
        <w:rPr>
          <w:rFonts w:ascii="黑体" w:hAnsi="黑体" w:eastAsia="黑体" w:cs="黑体"/>
          <w:sz w:val="32"/>
          <w:szCs w:val="32"/>
        </w:rPr>
      </w:pPr>
      <w:r>
        <w:rPr>
          <w:rFonts w:hint="eastAsia" w:ascii="黑体" w:hAnsi="黑体" w:eastAsia="黑体" w:cs="黑体"/>
          <w:sz w:val="32"/>
          <w:szCs w:val="32"/>
        </w:rPr>
        <w:t>第六章 附则</w:t>
      </w:r>
    </w:p>
    <w:p>
      <w:pPr>
        <w:spacing w:line="56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第十八条</w:t>
      </w:r>
      <w:r>
        <w:rPr>
          <w:rFonts w:hint="eastAsia" w:ascii="仿宋_GB2312" w:hAnsi="仿宋" w:eastAsia="仿宋_GB2312" w:cs="仿宋"/>
          <w:sz w:val="32"/>
          <w:szCs w:val="32"/>
        </w:rPr>
        <w:t xml:space="preserve"> 本办法由自治区医疗保障局负责解释。</w:t>
      </w:r>
    </w:p>
    <w:p>
      <w:pPr>
        <w:spacing w:line="56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第十九条</w:t>
      </w:r>
      <w:r>
        <w:rPr>
          <w:rFonts w:hint="eastAsia" w:ascii="仿宋_GB2312" w:hAnsi="仿宋" w:eastAsia="仿宋_GB2312" w:cs="仿宋"/>
          <w:sz w:val="32"/>
          <w:szCs w:val="32"/>
        </w:rPr>
        <w:t xml:space="preserve"> 本办法自印发之日起施行。</w:t>
      </w:r>
    </w:p>
    <w:p>
      <w:pPr>
        <w:spacing w:line="560" w:lineRule="exact"/>
        <w:ind w:firstLine="640" w:firstLineChars="200"/>
        <w:jc w:val="left"/>
        <w:rPr>
          <w:rFonts w:ascii="仿宋_GB2312" w:hAnsi="仿宋" w:eastAsia="仿宋_GB2312" w:cs="仿宋"/>
          <w:sz w:val="32"/>
          <w:szCs w:val="32"/>
        </w:rPr>
      </w:pP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附件：1.广西壮族自治区医疗保障局评审专家申请表。</w:t>
      </w:r>
    </w:p>
    <w:p>
      <w:pPr>
        <w:spacing w:line="560" w:lineRule="exact"/>
        <w:ind w:firstLine="1600" w:firstLineChars="500"/>
        <w:jc w:val="left"/>
        <w:rPr>
          <w:rFonts w:ascii="仿宋_GB2312" w:hAnsi="仿宋" w:eastAsia="仿宋_GB2312" w:cs="仿宋"/>
          <w:sz w:val="32"/>
          <w:szCs w:val="32"/>
        </w:rPr>
      </w:pPr>
      <w:r>
        <w:rPr>
          <w:rFonts w:hint="eastAsia" w:ascii="仿宋_GB2312" w:hAnsi="仿宋" w:eastAsia="仿宋_GB2312" w:cs="仿宋"/>
          <w:sz w:val="32"/>
          <w:szCs w:val="32"/>
        </w:rPr>
        <w:t>2.专家承诺书</w:t>
      </w:r>
    </w:p>
    <w:p>
      <w:pPr>
        <w:spacing w:line="560" w:lineRule="exact"/>
        <w:ind w:firstLine="1600" w:firstLineChars="500"/>
        <w:jc w:val="left"/>
        <w:rPr>
          <w:rFonts w:ascii="仿宋_GB2312" w:hAnsi="仿宋" w:eastAsia="仿宋_GB2312" w:cs="仿宋"/>
          <w:sz w:val="32"/>
          <w:szCs w:val="32"/>
        </w:rPr>
      </w:pPr>
      <w:r>
        <w:rPr>
          <w:rFonts w:hint="eastAsia" w:ascii="仿宋_GB2312" w:hAnsi="仿宋" w:eastAsia="仿宋_GB2312" w:cs="仿宋"/>
          <w:sz w:val="32"/>
          <w:szCs w:val="32"/>
        </w:rPr>
        <w:t>3.医疗医药类学科分类与代码</w:t>
      </w:r>
    </w:p>
    <w:p>
      <w:pPr>
        <w:spacing w:line="540" w:lineRule="exact"/>
        <w:jc w:val="left"/>
        <w:rPr>
          <w:rFonts w:ascii="黑体" w:hAnsi="黑体" w:eastAsia="黑体" w:cs="仿宋"/>
          <w:sz w:val="32"/>
          <w:szCs w:val="32"/>
        </w:rPr>
      </w:pPr>
    </w:p>
    <w:p>
      <w:pPr>
        <w:spacing w:line="540" w:lineRule="exact"/>
        <w:jc w:val="left"/>
        <w:rPr>
          <w:rFonts w:ascii="黑体" w:hAnsi="黑体" w:eastAsia="黑体" w:cs="仿宋"/>
          <w:sz w:val="32"/>
          <w:szCs w:val="32"/>
        </w:rPr>
      </w:pPr>
      <w:r>
        <w:rPr>
          <w:rFonts w:hint="eastAsia" w:ascii="黑体" w:hAnsi="黑体" w:eastAsia="黑体" w:cs="仿宋"/>
          <w:sz w:val="32"/>
          <w:szCs w:val="32"/>
        </w:rPr>
        <w:t>附件1</w:t>
      </w:r>
    </w:p>
    <w:p>
      <w:pPr>
        <w:spacing w:line="540" w:lineRule="exact"/>
        <w:jc w:val="left"/>
        <w:rPr>
          <w:rFonts w:ascii="黑体" w:hAnsi="黑体" w:eastAsia="黑体" w:cs="仿宋"/>
          <w:sz w:val="32"/>
          <w:szCs w:val="32"/>
        </w:rPr>
      </w:pPr>
    </w:p>
    <w:p>
      <w:pPr>
        <w:spacing w:line="540" w:lineRule="exact"/>
        <w:ind w:firstLine="800" w:firstLineChars="200"/>
        <w:jc w:val="left"/>
        <w:rPr>
          <w:rFonts w:ascii="方正小标宋简体" w:hAnsi="黑体" w:eastAsia="方正小标宋简体" w:cs="黑体"/>
          <w:bCs/>
          <w:sz w:val="40"/>
          <w:szCs w:val="36"/>
        </w:rPr>
      </w:pPr>
      <w:r>
        <w:rPr>
          <w:rFonts w:hint="eastAsia" w:ascii="方正小标宋简体" w:hAnsi="黑体" w:eastAsia="方正小标宋简体" w:cs="黑体"/>
          <w:bCs/>
          <w:sz w:val="40"/>
          <w:szCs w:val="36"/>
        </w:rPr>
        <w:t>广西壮族自治区医疗保障局评审专家申请表</w:t>
      </w:r>
    </w:p>
    <w:p>
      <w:pPr>
        <w:spacing w:line="540" w:lineRule="exact"/>
        <w:ind w:firstLine="723" w:firstLineChars="200"/>
        <w:jc w:val="left"/>
        <w:rPr>
          <w:rFonts w:ascii="黑体" w:hAnsi="黑体" w:eastAsia="黑体" w:cs="黑体"/>
          <w:b/>
          <w:bCs/>
          <w:sz w:val="36"/>
          <w:szCs w:val="36"/>
        </w:rPr>
      </w:pPr>
    </w:p>
    <w:tbl>
      <w:tblPr>
        <w:tblStyle w:val="3"/>
        <w:tblpPr w:leftFromText="180" w:rightFromText="180" w:vertAnchor="text" w:horzAnchor="page" w:tblpX="1299" w:tblpY="249"/>
        <w:tblOverlap w:val="never"/>
        <w:tblW w:w="10036" w:type="dxa"/>
        <w:tblInd w:w="0" w:type="dxa"/>
        <w:tblLayout w:type="fixed"/>
        <w:tblCellMar>
          <w:top w:w="18" w:type="dxa"/>
          <w:left w:w="107" w:type="dxa"/>
          <w:bottom w:w="0" w:type="dxa"/>
          <w:right w:w="110" w:type="dxa"/>
        </w:tblCellMar>
      </w:tblPr>
      <w:tblGrid>
        <w:gridCol w:w="2047"/>
        <w:gridCol w:w="1080"/>
        <w:gridCol w:w="614"/>
        <w:gridCol w:w="614"/>
        <w:gridCol w:w="323"/>
        <w:gridCol w:w="234"/>
        <w:gridCol w:w="792"/>
        <w:gridCol w:w="215"/>
        <w:gridCol w:w="709"/>
        <w:gridCol w:w="167"/>
        <w:gridCol w:w="1497"/>
        <w:gridCol w:w="1744"/>
      </w:tblGrid>
      <w:tr>
        <w:tblPrEx>
          <w:tblLayout w:type="fixed"/>
          <w:tblCellMar>
            <w:top w:w="18" w:type="dxa"/>
            <w:left w:w="107" w:type="dxa"/>
            <w:bottom w:w="0" w:type="dxa"/>
            <w:right w:w="110" w:type="dxa"/>
          </w:tblCellMar>
        </w:tblPrEx>
        <w:trPr>
          <w:trHeight w:val="686" w:hRule="atLeast"/>
        </w:trPr>
        <w:tc>
          <w:tcPr>
            <w:tcW w:w="20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0"/>
                <w:szCs w:val="20"/>
              </w:rPr>
            </w:pPr>
            <w:r>
              <w:rPr>
                <w:rFonts w:cs="Calibri"/>
                <w:color w:val="000000"/>
                <w:kern w:val="0"/>
                <w:sz w:val="20"/>
                <w:szCs w:val="20"/>
              </w:rPr>
              <w:t>姓 名</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0"/>
                <w:szCs w:val="20"/>
              </w:rPr>
            </w:pPr>
            <w:r>
              <w:rPr>
                <w:rFonts w:cs="Calibri"/>
                <w:color w:val="000000"/>
                <w:kern w:val="0"/>
                <w:sz w:val="20"/>
                <w:szCs w:val="20"/>
              </w:rPr>
              <w:t>　</w:t>
            </w:r>
          </w:p>
        </w:tc>
        <w:tc>
          <w:tcPr>
            <w:tcW w:w="12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0"/>
                <w:szCs w:val="20"/>
              </w:rPr>
            </w:pPr>
            <w:r>
              <w:rPr>
                <w:rFonts w:cs="Calibri"/>
                <w:color w:val="000000"/>
                <w:kern w:val="0"/>
                <w:sz w:val="20"/>
                <w:szCs w:val="20"/>
              </w:rPr>
              <w:t>出生年月</w:t>
            </w:r>
          </w:p>
        </w:tc>
        <w:tc>
          <w:tcPr>
            <w:tcW w:w="13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0"/>
                <w:szCs w:val="20"/>
              </w:rPr>
            </w:pPr>
            <w:r>
              <w:rPr>
                <w:rFonts w:cs="Calibri"/>
                <w:color w:val="000000"/>
                <w:kern w:val="0"/>
                <w:sz w:val="20"/>
                <w:szCs w:val="20"/>
              </w:rPr>
              <w:t>　</w:t>
            </w:r>
          </w:p>
        </w:tc>
        <w:tc>
          <w:tcPr>
            <w:tcW w:w="109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0"/>
                <w:szCs w:val="20"/>
              </w:rPr>
            </w:pPr>
            <w:r>
              <w:rPr>
                <w:rFonts w:cs="Calibri"/>
                <w:color w:val="000000"/>
                <w:kern w:val="0"/>
                <w:sz w:val="20"/>
                <w:szCs w:val="20"/>
              </w:rPr>
              <w:t>性别</w:t>
            </w:r>
          </w:p>
        </w:tc>
        <w:tc>
          <w:tcPr>
            <w:tcW w:w="14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0"/>
                <w:szCs w:val="20"/>
              </w:rPr>
            </w:pPr>
            <w:r>
              <w:rPr>
                <w:rFonts w:cs="Calibri"/>
                <w:color w:val="000000"/>
                <w:kern w:val="0"/>
                <w:sz w:val="20"/>
                <w:szCs w:val="20"/>
              </w:rPr>
              <w:t>　</w:t>
            </w:r>
          </w:p>
        </w:tc>
        <w:tc>
          <w:tcPr>
            <w:tcW w:w="174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0"/>
                <w:szCs w:val="20"/>
              </w:rPr>
            </w:pPr>
            <w:r>
              <w:rPr>
                <w:rFonts w:cs="Calibri"/>
                <w:color w:val="000000"/>
                <w:kern w:val="0"/>
                <w:sz w:val="20"/>
                <w:szCs w:val="20"/>
              </w:rPr>
              <w:t>一寸彩照</w:t>
            </w:r>
          </w:p>
        </w:tc>
      </w:tr>
      <w:tr>
        <w:tblPrEx>
          <w:tblLayout w:type="fixed"/>
          <w:tblCellMar>
            <w:top w:w="18" w:type="dxa"/>
            <w:left w:w="107" w:type="dxa"/>
            <w:bottom w:w="0" w:type="dxa"/>
            <w:right w:w="110" w:type="dxa"/>
          </w:tblCellMar>
        </w:tblPrEx>
        <w:trPr>
          <w:trHeight w:val="807" w:hRule="atLeast"/>
        </w:trPr>
        <w:tc>
          <w:tcPr>
            <w:tcW w:w="20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0"/>
                <w:szCs w:val="20"/>
              </w:rPr>
            </w:pPr>
            <w:r>
              <w:rPr>
                <w:rFonts w:cs="Calibri"/>
                <w:color w:val="000000"/>
                <w:kern w:val="0"/>
                <w:sz w:val="20"/>
                <w:szCs w:val="20"/>
              </w:rPr>
              <w:t>政治面貌</w:t>
            </w:r>
          </w:p>
        </w:tc>
        <w:tc>
          <w:tcPr>
            <w:tcW w:w="3657"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0"/>
                <w:szCs w:val="20"/>
              </w:rPr>
            </w:pPr>
            <w:r>
              <w:rPr>
                <w:rFonts w:cs="Calibri"/>
                <w:color w:val="000000"/>
                <w:kern w:val="0"/>
                <w:sz w:val="20"/>
                <w:szCs w:val="20"/>
              </w:rPr>
              <w:t>　</w:t>
            </w:r>
          </w:p>
        </w:tc>
        <w:tc>
          <w:tcPr>
            <w:tcW w:w="109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0"/>
                <w:szCs w:val="20"/>
              </w:rPr>
            </w:pPr>
            <w:r>
              <w:rPr>
                <w:rFonts w:hint="eastAsia" w:ascii="宋体" w:hAnsi="宋体" w:cs="宋体"/>
                <w:color w:val="000000"/>
                <w:kern w:val="0"/>
                <w:sz w:val="20"/>
                <w:szCs w:val="20"/>
              </w:rPr>
              <w:t>民族</w:t>
            </w:r>
          </w:p>
        </w:tc>
        <w:tc>
          <w:tcPr>
            <w:tcW w:w="14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0"/>
                <w:szCs w:val="20"/>
              </w:rPr>
            </w:pPr>
            <w:r>
              <w:rPr>
                <w:rFonts w:cs="Calibri"/>
                <w:color w:val="000000"/>
                <w:kern w:val="0"/>
                <w:sz w:val="20"/>
                <w:szCs w:val="20"/>
              </w:rPr>
              <w:t>　</w:t>
            </w:r>
          </w:p>
        </w:tc>
        <w:tc>
          <w:tcPr>
            <w:tcW w:w="1744" w:type="dxa"/>
            <w:vMerge w:val="continue"/>
            <w:tcBorders>
              <w:top w:val="nil"/>
              <w:left w:val="single" w:color="000000" w:sz="4" w:space="0"/>
              <w:bottom w:val="nil"/>
              <w:right w:val="single" w:color="000000" w:sz="4" w:space="0"/>
            </w:tcBorders>
            <w:vAlign w:val="center"/>
          </w:tcPr>
          <w:p>
            <w:pPr>
              <w:jc w:val="center"/>
              <w:rPr>
                <w:sz w:val="20"/>
                <w:szCs w:val="20"/>
              </w:rPr>
            </w:pPr>
          </w:p>
        </w:tc>
      </w:tr>
      <w:tr>
        <w:tblPrEx>
          <w:tblLayout w:type="fixed"/>
          <w:tblCellMar>
            <w:top w:w="18" w:type="dxa"/>
            <w:left w:w="107" w:type="dxa"/>
            <w:bottom w:w="0" w:type="dxa"/>
            <w:right w:w="110" w:type="dxa"/>
          </w:tblCellMar>
        </w:tblPrEx>
        <w:trPr>
          <w:trHeight w:val="694" w:hRule="atLeast"/>
        </w:trPr>
        <w:tc>
          <w:tcPr>
            <w:tcW w:w="20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0"/>
                <w:szCs w:val="20"/>
              </w:rPr>
            </w:pPr>
            <w:r>
              <w:rPr>
                <w:rFonts w:hint="eastAsia" w:ascii="宋体" w:hAnsi="宋体" w:cs="宋体"/>
                <w:color w:val="000000"/>
                <w:kern w:val="0"/>
                <w:sz w:val="20"/>
                <w:szCs w:val="20"/>
              </w:rPr>
              <w:t>身份证号</w:t>
            </w:r>
          </w:p>
        </w:tc>
        <w:tc>
          <w:tcPr>
            <w:tcW w:w="6245" w:type="dxa"/>
            <w:gridSpan w:val="10"/>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0"/>
                <w:szCs w:val="20"/>
              </w:rPr>
            </w:pPr>
            <w:r>
              <w:rPr>
                <w:rFonts w:cs="Calibri"/>
                <w:color w:val="000000"/>
                <w:kern w:val="0"/>
                <w:sz w:val="20"/>
                <w:szCs w:val="20"/>
              </w:rPr>
              <w:t>　</w:t>
            </w:r>
          </w:p>
        </w:tc>
        <w:tc>
          <w:tcPr>
            <w:tcW w:w="1744" w:type="dxa"/>
            <w:vMerge w:val="continue"/>
            <w:tcBorders>
              <w:top w:val="nil"/>
              <w:left w:val="single" w:color="000000" w:sz="4" w:space="0"/>
              <w:bottom w:val="nil"/>
              <w:right w:val="single" w:color="000000" w:sz="4" w:space="0"/>
            </w:tcBorders>
            <w:vAlign w:val="center"/>
          </w:tcPr>
          <w:p>
            <w:pPr>
              <w:jc w:val="center"/>
              <w:rPr>
                <w:sz w:val="20"/>
                <w:szCs w:val="20"/>
              </w:rPr>
            </w:pPr>
          </w:p>
        </w:tc>
      </w:tr>
      <w:tr>
        <w:tblPrEx>
          <w:tblLayout w:type="fixed"/>
          <w:tblCellMar>
            <w:top w:w="18" w:type="dxa"/>
            <w:left w:w="107" w:type="dxa"/>
            <w:bottom w:w="0" w:type="dxa"/>
            <w:right w:w="110" w:type="dxa"/>
          </w:tblCellMar>
        </w:tblPrEx>
        <w:trPr>
          <w:trHeight w:val="676" w:hRule="atLeast"/>
        </w:trPr>
        <w:tc>
          <w:tcPr>
            <w:tcW w:w="20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0"/>
                <w:szCs w:val="20"/>
              </w:rPr>
            </w:pPr>
            <w:r>
              <w:rPr>
                <w:rFonts w:cs="Calibri"/>
                <w:color w:val="000000"/>
                <w:kern w:val="0"/>
                <w:sz w:val="20"/>
                <w:szCs w:val="20"/>
              </w:rPr>
              <w:t>毕业院校及专业</w:t>
            </w:r>
          </w:p>
        </w:tc>
        <w:tc>
          <w:tcPr>
            <w:tcW w:w="263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0"/>
                <w:szCs w:val="20"/>
              </w:rPr>
            </w:pPr>
            <w:r>
              <w:rPr>
                <w:rFonts w:cs="Calibri"/>
                <w:color w:val="000000"/>
                <w:kern w:val="0"/>
                <w:sz w:val="20"/>
                <w:szCs w:val="20"/>
              </w:rPr>
              <w:t>　</w:t>
            </w: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0"/>
                <w:szCs w:val="20"/>
              </w:rPr>
            </w:pPr>
            <w:r>
              <w:rPr>
                <w:rFonts w:hint="eastAsia" w:ascii="宋体" w:hAnsi="宋体" w:cs="宋体"/>
                <w:color w:val="000000"/>
                <w:kern w:val="0"/>
                <w:sz w:val="20"/>
                <w:szCs w:val="20"/>
              </w:rPr>
              <w:t>学历及学位</w:t>
            </w:r>
          </w:p>
        </w:tc>
        <w:tc>
          <w:tcPr>
            <w:tcW w:w="237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0"/>
                <w:szCs w:val="20"/>
              </w:rPr>
            </w:pPr>
            <w:r>
              <w:rPr>
                <w:rFonts w:cs="Calibri"/>
                <w:color w:val="000000"/>
                <w:kern w:val="0"/>
                <w:sz w:val="20"/>
                <w:szCs w:val="20"/>
              </w:rPr>
              <w:t>　</w:t>
            </w:r>
          </w:p>
        </w:tc>
        <w:tc>
          <w:tcPr>
            <w:tcW w:w="1744" w:type="dxa"/>
            <w:vMerge w:val="continue"/>
            <w:tcBorders>
              <w:top w:val="nil"/>
              <w:left w:val="single" w:color="000000" w:sz="4" w:space="0"/>
              <w:bottom w:val="single" w:color="000000" w:sz="4" w:space="0"/>
              <w:right w:val="single" w:color="000000" w:sz="4" w:space="0"/>
            </w:tcBorders>
            <w:vAlign w:val="center"/>
          </w:tcPr>
          <w:p>
            <w:pPr>
              <w:jc w:val="center"/>
              <w:rPr>
                <w:sz w:val="20"/>
                <w:szCs w:val="20"/>
              </w:rPr>
            </w:pPr>
          </w:p>
        </w:tc>
      </w:tr>
      <w:tr>
        <w:tblPrEx>
          <w:tblLayout w:type="fixed"/>
          <w:tblCellMar>
            <w:top w:w="18" w:type="dxa"/>
            <w:left w:w="107" w:type="dxa"/>
            <w:bottom w:w="0" w:type="dxa"/>
            <w:right w:w="110" w:type="dxa"/>
          </w:tblCellMar>
        </w:tblPrEx>
        <w:trPr>
          <w:trHeight w:val="675" w:hRule="atLeast"/>
        </w:trPr>
        <w:tc>
          <w:tcPr>
            <w:tcW w:w="20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0"/>
                <w:szCs w:val="20"/>
              </w:rPr>
            </w:pPr>
            <w:r>
              <w:rPr>
                <w:rFonts w:cs="Calibri"/>
                <w:color w:val="000000"/>
                <w:kern w:val="0"/>
                <w:sz w:val="20"/>
                <w:szCs w:val="20"/>
              </w:rPr>
              <w:t>技术职称及取得时间</w:t>
            </w:r>
          </w:p>
        </w:tc>
        <w:tc>
          <w:tcPr>
            <w:tcW w:w="263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0"/>
                <w:szCs w:val="20"/>
              </w:rPr>
            </w:pPr>
            <w:r>
              <w:rPr>
                <w:rFonts w:cs="Calibri"/>
                <w:color w:val="000000"/>
                <w:kern w:val="0"/>
                <w:sz w:val="20"/>
                <w:szCs w:val="20"/>
              </w:rPr>
              <w:t>　</w:t>
            </w: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0"/>
                <w:szCs w:val="20"/>
              </w:rPr>
            </w:pPr>
            <w:r>
              <w:rPr>
                <w:rFonts w:cs="Calibri"/>
                <w:color w:val="000000"/>
                <w:kern w:val="0"/>
                <w:sz w:val="20"/>
                <w:szCs w:val="20"/>
              </w:rPr>
              <w:t>执业资格及取得时间</w:t>
            </w:r>
          </w:p>
        </w:tc>
        <w:tc>
          <w:tcPr>
            <w:tcW w:w="411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0"/>
                <w:szCs w:val="20"/>
              </w:rPr>
            </w:pPr>
            <w:r>
              <w:rPr>
                <w:rFonts w:cs="Calibri"/>
                <w:color w:val="000000"/>
                <w:kern w:val="0"/>
                <w:sz w:val="20"/>
                <w:szCs w:val="20"/>
              </w:rPr>
              <w:t>　</w:t>
            </w:r>
          </w:p>
        </w:tc>
      </w:tr>
      <w:tr>
        <w:tblPrEx>
          <w:tblLayout w:type="fixed"/>
          <w:tblCellMar>
            <w:top w:w="18" w:type="dxa"/>
            <w:left w:w="107" w:type="dxa"/>
            <w:bottom w:w="0" w:type="dxa"/>
            <w:right w:w="110" w:type="dxa"/>
          </w:tblCellMar>
        </w:tblPrEx>
        <w:trPr>
          <w:trHeight w:val="696" w:hRule="atLeast"/>
        </w:trPr>
        <w:tc>
          <w:tcPr>
            <w:tcW w:w="2047"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cs="Calibri"/>
                <w:color w:val="000000"/>
                <w:kern w:val="0"/>
                <w:sz w:val="20"/>
                <w:szCs w:val="20"/>
              </w:rPr>
            </w:pPr>
            <w:r>
              <w:rPr>
                <w:rFonts w:cs="Calibri"/>
                <w:color w:val="000000"/>
                <w:kern w:val="0"/>
                <w:sz w:val="20"/>
                <w:szCs w:val="20"/>
              </w:rPr>
              <w:t>从事相关业务</w:t>
            </w:r>
          </w:p>
          <w:p>
            <w:pPr>
              <w:widowControl/>
              <w:jc w:val="center"/>
              <w:textAlignment w:val="center"/>
              <w:rPr>
                <w:sz w:val="20"/>
                <w:szCs w:val="20"/>
              </w:rPr>
            </w:pPr>
            <w:r>
              <w:rPr>
                <w:rStyle w:val="4"/>
                <w:rFonts w:hint="default"/>
                <w:sz w:val="20"/>
                <w:szCs w:val="20"/>
              </w:rPr>
              <w:t>及</w:t>
            </w:r>
            <w:r>
              <w:rPr>
                <w:rStyle w:val="5"/>
                <w:sz w:val="20"/>
                <w:szCs w:val="20"/>
              </w:rPr>
              <w:t>工作年限</w:t>
            </w:r>
          </w:p>
        </w:tc>
        <w:tc>
          <w:tcPr>
            <w:tcW w:w="2631" w:type="dxa"/>
            <w:gridSpan w:val="4"/>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sz w:val="20"/>
                <w:szCs w:val="20"/>
              </w:rPr>
            </w:pPr>
            <w:r>
              <w:rPr>
                <w:rFonts w:cs="Calibri"/>
                <w:color w:val="000000"/>
                <w:kern w:val="0"/>
                <w:sz w:val="20"/>
                <w:szCs w:val="20"/>
              </w:rPr>
              <w:t>　</w:t>
            </w:r>
          </w:p>
        </w:tc>
        <w:tc>
          <w:tcPr>
            <w:tcW w:w="1241" w:type="dxa"/>
            <w:gridSpan w:val="3"/>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sz w:val="20"/>
                <w:szCs w:val="20"/>
              </w:rPr>
            </w:pPr>
            <w:r>
              <w:rPr>
                <w:rFonts w:cs="Calibri"/>
                <w:color w:val="000000"/>
                <w:kern w:val="0"/>
                <w:sz w:val="20"/>
                <w:szCs w:val="20"/>
              </w:rPr>
              <w:t>其他资格取得情况</w:t>
            </w:r>
          </w:p>
        </w:tc>
        <w:tc>
          <w:tcPr>
            <w:tcW w:w="4117" w:type="dxa"/>
            <w:gridSpan w:val="4"/>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sz w:val="20"/>
                <w:szCs w:val="20"/>
              </w:rPr>
            </w:pPr>
            <w:r>
              <w:rPr>
                <w:rFonts w:cs="Calibri"/>
                <w:color w:val="000000"/>
                <w:kern w:val="0"/>
                <w:sz w:val="20"/>
                <w:szCs w:val="20"/>
              </w:rPr>
              <w:t>　</w:t>
            </w:r>
          </w:p>
        </w:tc>
      </w:tr>
      <w:tr>
        <w:tblPrEx>
          <w:tblLayout w:type="fixed"/>
          <w:tblCellMar>
            <w:top w:w="18" w:type="dxa"/>
            <w:left w:w="107" w:type="dxa"/>
            <w:bottom w:w="0" w:type="dxa"/>
            <w:right w:w="110" w:type="dxa"/>
          </w:tblCellMar>
        </w:tblPrEx>
        <w:trPr>
          <w:trHeight w:val="774" w:hRule="atLeast"/>
        </w:trPr>
        <w:tc>
          <w:tcPr>
            <w:tcW w:w="2047"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sz w:val="20"/>
                <w:szCs w:val="20"/>
              </w:rPr>
            </w:pPr>
            <w:r>
              <w:rPr>
                <w:rFonts w:hint="eastAsia" w:ascii="宋体" w:hAnsi="宋体" w:cs="宋体"/>
                <w:color w:val="000000"/>
                <w:kern w:val="0"/>
                <w:sz w:val="20"/>
                <w:szCs w:val="20"/>
              </w:rPr>
              <w:t>固定电话</w:t>
            </w:r>
          </w:p>
        </w:tc>
        <w:tc>
          <w:tcPr>
            <w:tcW w:w="1694" w:type="dxa"/>
            <w:gridSpan w:val="2"/>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sz w:val="20"/>
                <w:szCs w:val="20"/>
              </w:rPr>
            </w:pPr>
            <w:r>
              <w:rPr>
                <w:rFonts w:cs="Calibri"/>
                <w:color w:val="000000"/>
                <w:kern w:val="0"/>
                <w:sz w:val="20"/>
                <w:szCs w:val="20"/>
              </w:rPr>
              <w:t>　</w:t>
            </w:r>
          </w:p>
        </w:tc>
        <w:tc>
          <w:tcPr>
            <w:tcW w:w="614"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sz w:val="20"/>
                <w:szCs w:val="20"/>
              </w:rPr>
            </w:pPr>
            <w:r>
              <w:rPr>
                <w:rFonts w:hint="eastAsia" w:ascii="宋体" w:hAnsi="宋体" w:cs="宋体"/>
                <w:color w:val="000000"/>
                <w:kern w:val="0"/>
                <w:sz w:val="20"/>
                <w:szCs w:val="20"/>
              </w:rPr>
              <w:t>手机</w:t>
            </w:r>
          </w:p>
        </w:tc>
        <w:tc>
          <w:tcPr>
            <w:tcW w:w="1564" w:type="dxa"/>
            <w:gridSpan w:val="4"/>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sz w:val="20"/>
                <w:szCs w:val="20"/>
              </w:rPr>
            </w:pPr>
          </w:p>
        </w:tc>
        <w:tc>
          <w:tcPr>
            <w:tcW w:w="709"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sz w:val="20"/>
                <w:szCs w:val="20"/>
              </w:rPr>
            </w:pPr>
            <w:r>
              <w:rPr>
                <w:rFonts w:hint="eastAsia" w:ascii="宋体" w:hAnsi="宋体" w:cs="宋体"/>
                <w:color w:val="000000"/>
                <w:kern w:val="0"/>
                <w:sz w:val="20"/>
                <w:szCs w:val="20"/>
              </w:rPr>
              <w:t>电子邮箱</w:t>
            </w:r>
          </w:p>
        </w:tc>
        <w:tc>
          <w:tcPr>
            <w:tcW w:w="3408" w:type="dxa"/>
            <w:gridSpan w:val="3"/>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sz w:val="20"/>
                <w:szCs w:val="20"/>
              </w:rPr>
            </w:pPr>
            <w:r>
              <w:rPr>
                <w:rFonts w:cs="Calibri"/>
                <w:color w:val="000000"/>
                <w:kern w:val="0"/>
                <w:sz w:val="20"/>
                <w:szCs w:val="20"/>
              </w:rPr>
              <w:t>　</w:t>
            </w:r>
          </w:p>
        </w:tc>
      </w:tr>
      <w:tr>
        <w:tblPrEx>
          <w:tblLayout w:type="fixed"/>
          <w:tblCellMar>
            <w:top w:w="18" w:type="dxa"/>
            <w:left w:w="107" w:type="dxa"/>
            <w:bottom w:w="0" w:type="dxa"/>
            <w:right w:w="110" w:type="dxa"/>
          </w:tblCellMar>
        </w:tblPrEx>
        <w:trPr>
          <w:trHeight w:val="1384" w:hRule="atLeast"/>
        </w:trPr>
        <w:tc>
          <w:tcPr>
            <w:tcW w:w="20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申报专家类别</w:t>
            </w:r>
          </w:p>
          <w:p>
            <w:pPr>
              <w:widowControl/>
              <w:jc w:val="center"/>
              <w:textAlignment w:val="center"/>
              <w:rPr>
                <w:sz w:val="20"/>
                <w:szCs w:val="20"/>
              </w:rPr>
            </w:pPr>
            <w:r>
              <w:rPr>
                <w:rFonts w:hint="eastAsia" w:ascii="宋体" w:hAnsi="宋体" w:cs="宋体"/>
                <w:color w:val="000000"/>
                <w:kern w:val="0"/>
                <w:sz w:val="20"/>
                <w:szCs w:val="20"/>
              </w:rPr>
              <w:t>（可多选）</w:t>
            </w:r>
          </w:p>
        </w:tc>
        <w:tc>
          <w:tcPr>
            <w:tcW w:w="7989"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 xml:space="preserve">□医疗医药类      □医保管理类        □药品耗材采购类       □医药价格管理类              </w:t>
            </w:r>
          </w:p>
          <w:p>
            <w:pPr>
              <w:widowControl/>
              <w:jc w:val="center"/>
              <w:textAlignment w:val="center"/>
              <w:rPr>
                <w:rFonts w:ascii="宋体" w:hAnsi="宋体" w:cs="宋体"/>
                <w:color w:val="000000"/>
                <w:kern w:val="0"/>
                <w:sz w:val="20"/>
                <w:szCs w:val="20"/>
              </w:rPr>
            </w:pPr>
          </w:p>
          <w:p>
            <w:pPr>
              <w:widowControl/>
              <w:jc w:val="center"/>
              <w:textAlignment w:val="center"/>
              <w:rPr>
                <w:sz w:val="20"/>
                <w:szCs w:val="20"/>
              </w:rPr>
            </w:pPr>
            <w:r>
              <w:rPr>
                <w:rFonts w:hint="eastAsia" w:ascii="宋体" w:hAnsi="宋体" w:cs="宋体"/>
                <w:color w:val="000000"/>
                <w:kern w:val="0"/>
                <w:sz w:val="20"/>
                <w:szCs w:val="20"/>
              </w:rPr>
              <w:t xml:space="preserve">□财务管理类        □商业保险类        □信息技术类       □政府采购类    </w:t>
            </w:r>
          </w:p>
        </w:tc>
      </w:tr>
      <w:tr>
        <w:tblPrEx>
          <w:tblLayout w:type="fixed"/>
          <w:tblCellMar>
            <w:top w:w="18" w:type="dxa"/>
            <w:left w:w="107" w:type="dxa"/>
            <w:bottom w:w="0" w:type="dxa"/>
            <w:right w:w="110" w:type="dxa"/>
          </w:tblCellMar>
        </w:tblPrEx>
        <w:trPr>
          <w:trHeight w:val="971" w:hRule="atLeast"/>
        </w:trPr>
        <w:tc>
          <w:tcPr>
            <w:tcW w:w="20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0"/>
                <w:szCs w:val="20"/>
              </w:rPr>
            </w:pPr>
            <w:r>
              <w:rPr>
                <w:rFonts w:hint="eastAsia" w:ascii="宋体" w:hAnsi="宋体" w:cs="宋体"/>
                <w:color w:val="000000"/>
                <w:kern w:val="0"/>
                <w:sz w:val="20"/>
                <w:szCs w:val="20"/>
              </w:rPr>
              <w:t>工作单位</w:t>
            </w:r>
          </w:p>
        </w:tc>
        <w:tc>
          <w:tcPr>
            <w:tcW w:w="7989"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0"/>
                <w:szCs w:val="20"/>
              </w:rPr>
            </w:pPr>
            <w:r>
              <w:rPr>
                <w:rFonts w:cs="Calibri"/>
                <w:color w:val="000000"/>
                <w:kern w:val="0"/>
                <w:sz w:val="20"/>
                <w:szCs w:val="20"/>
              </w:rPr>
              <w:t>　</w:t>
            </w:r>
          </w:p>
        </w:tc>
      </w:tr>
      <w:tr>
        <w:tblPrEx>
          <w:tblLayout w:type="fixed"/>
          <w:tblCellMar>
            <w:top w:w="18" w:type="dxa"/>
            <w:left w:w="107" w:type="dxa"/>
            <w:bottom w:w="0" w:type="dxa"/>
            <w:right w:w="110" w:type="dxa"/>
          </w:tblCellMar>
        </w:tblPrEx>
        <w:trPr>
          <w:trHeight w:val="1048" w:hRule="atLeast"/>
        </w:trPr>
        <w:tc>
          <w:tcPr>
            <w:tcW w:w="204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医院级别</w:t>
            </w:r>
          </w:p>
          <w:p>
            <w:pPr>
              <w:widowControl/>
              <w:jc w:val="center"/>
              <w:textAlignment w:val="center"/>
              <w:rPr>
                <w:sz w:val="20"/>
                <w:szCs w:val="20"/>
              </w:rPr>
            </w:pPr>
            <w:r>
              <w:rPr>
                <w:rFonts w:hint="eastAsia" w:ascii="宋体" w:hAnsi="宋体" w:cs="宋体"/>
                <w:color w:val="000000"/>
                <w:kern w:val="0"/>
                <w:sz w:val="16"/>
                <w:szCs w:val="16"/>
              </w:rPr>
              <w:t>（非涉医类的可不填）</w:t>
            </w:r>
          </w:p>
        </w:tc>
        <w:tc>
          <w:tcPr>
            <w:tcW w:w="7989"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0"/>
                <w:szCs w:val="20"/>
              </w:rPr>
            </w:pPr>
            <w:r>
              <w:rPr>
                <w:rFonts w:hint="eastAsia" w:ascii="宋体" w:hAnsi="宋体" w:cs="宋体"/>
                <w:color w:val="000000"/>
                <w:kern w:val="0"/>
                <w:sz w:val="20"/>
                <w:szCs w:val="20"/>
              </w:rPr>
              <w:t>　</w:t>
            </w:r>
          </w:p>
        </w:tc>
      </w:tr>
      <w:tr>
        <w:tblPrEx>
          <w:tblLayout w:type="fixed"/>
          <w:tblCellMar>
            <w:top w:w="18" w:type="dxa"/>
            <w:left w:w="107" w:type="dxa"/>
            <w:bottom w:w="0" w:type="dxa"/>
            <w:right w:w="110" w:type="dxa"/>
          </w:tblCellMar>
        </w:tblPrEx>
        <w:trPr>
          <w:trHeight w:val="1034" w:hRule="atLeast"/>
        </w:trPr>
        <w:tc>
          <w:tcPr>
            <w:tcW w:w="2047"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任职医院的科室</w:t>
            </w:r>
          </w:p>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及职务</w:t>
            </w:r>
          </w:p>
          <w:p>
            <w:pPr>
              <w:widowControl/>
              <w:jc w:val="center"/>
              <w:textAlignment w:val="center"/>
              <w:rPr>
                <w:sz w:val="20"/>
                <w:szCs w:val="20"/>
              </w:rPr>
            </w:pPr>
            <w:r>
              <w:rPr>
                <w:rFonts w:hint="eastAsia" w:ascii="宋体" w:hAnsi="宋体" w:cs="宋体"/>
                <w:color w:val="000000"/>
                <w:kern w:val="0"/>
                <w:sz w:val="16"/>
                <w:szCs w:val="16"/>
              </w:rPr>
              <w:t>（非涉医类的可不填）</w:t>
            </w:r>
          </w:p>
        </w:tc>
        <w:tc>
          <w:tcPr>
            <w:tcW w:w="7989"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0"/>
                <w:szCs w:val="20"/>
              </w:rPr>
            </w:pPr>
            <w:r>
              <w:rPr>
                <w:rFonts w:hint="eastAsia" w:ascii="宋体" w:hAnsi="宋体" w:cs="宋体"/>
                <w:color w:val="000000"/>
                <w:kern w:val="0"/>
                <w:sz w:val="20"/>
                <w:szCs w:val="20"/>
              </w:rPr>
              <w:t>　</w:t>
            </w:r>
          </w:p>
        </w:tc>
      </w:tr>
      <w:tr>
        <w:tblPrEx>
          <w:tblLayout w:type="fixed"/>
          <w:tblCellMar>
            <w:top w:w="18" w:type="dxa"/>
            <w:left w:w="107" w:type="dxa"/>
            <w:bottom w:w="0" w:type="dxa"/>
            <w:right w:w="110" w:type="dxa"/>
          </w:tblCellMar>
        </w:tblPrEx>
        <w:trPr>
          <w:trHeight w:val="962" w:hRule="atLeast"/>
        </w:trPr>
        <w:tc>
          <w:tcPr>
            <w:tcW w:w="2047"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专业类别及编码</w:t>
            </w:r>
          </w:p>
          <w:p>
            <w:pPr>
              <w:widowControl/>
              <w:jc w:val="center"/>
              <w:textAlignment w:val="center"/>
              <w:rPr>
                <w:sz w:val="20"/>
                <w:szCs w:val="20"/>
              </w:rPr>
            </w:pPr>
            <w:r>
              <w:rPr>
                <w:rFonts w:hint="eastAsia" w:ascii="宋体" w:hAnsi="宋体" w:cs="宋体"/>
                <w:b/>
                <w:bCs/>
                <w:color w:val="000000"/>
                <w:kern w:val="0"/>
                <w:sz w:val="16"/>
                <w:szCs w:val="16"/>
              </w:rPr>
              <w:t>（申报涉医类专家填报，可多选）</w:t>
            </w:r>
          </w:p>
        </w:tc>
        <w:tc>
          <w:tcPr>
            <w:tcW w:w="7989"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0"/>
                <w:szCs w:val="20"/>
              </w:rPr>
            </w:pPr>
            <w:r>
              <w:rPr>
                <w:rFonts w:hint="eastAsia" w:ascii="宋体" w:hAnsi="宋体" w:cs="宋体"/>
                <w:color w:val="000000"/>
                <w:kern w:val="0"/>
                <w:sz w:val="20"/>
                <w:szCs w:val="20"/>
              </w:rPr>
              <w:t>　</w:t>
            </w:r>
          </w:p>
        </w:tc>
      </w:tr>
      <w:tr>
        <w:tblPrEx>
          <w:tblLayout w:type="fixed"/>
          <w:tblCellMar>
            <w:top w:w="18" w:type="dxa"/>
            <w:left w:w="107" w:type="dxa"/>
            <w:bottom w:w="0" w:type="dxa"/>
            <w:right w:w="110" w:type="dxa"/>
          </w:tblCellMar>
        </w:tblPrEx>
        <w:trPr>
          <w:trHeight w:val="977" w:hRule="atLeast"/>
        </w:trPr>
        <w:tc>
          <w:tcPr>
            <w:tcW w:w="20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0"/>
                <w:szCs w:val="20"/>
              </w:rPr>
            </w:pPr>
            <w:r>
              <w:rPr>
                <w:rFonts w:hint="eastAsia" w:ascii="宋体" w:hAnsi="宋体" w:cs="宋体"/>
                <w:color w:val="000000"/>
                <w:kern w:val="0"/>
                <w:sz w:val="20"/>
                <w:szCs w:val="20"/>
              </w:rPr>
              <w:t>兼任职务</w:t>
            </w:r>
          </w:p>
        </w:tc>
        <w:tc>
          <w:tcPr>
            <w:tcW w:w="7989"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0"/>
                <w:szCs w:val="20"/>
              </w:rPr>
            </w:pPr>
            <w:r>
              <w:rPr>
                <w:rFonts w:cs="Calibri"/>
                <w:color w:val="000000"/>
                <w:kern w:val="0"/>
                <w:sz w:val="20"/>
                <w:szCs w:val="20"/>
              </w:rPr>
              <w:t>　</w:t>
            </w:r>
          </w:p>
        </w:tc>
      </w:tr>
      <w:tr>
        <w:tblPrEx>
          <w:tblLayout w:type="fixed"/>
          <w:tblCellMar>
            <w:top w:w="18" w:type="dxa"/>
            <w:left w:w="107" w:type="dxa"/>
            <w:bottom w:w="0" w:type="dxa"/>
            <w:right w:w="110" w:type="dxa"/>
          </w:tblCellMar>
        </w:tblPrEx>
        <w:trPr>
          <w:trHeight w:val="3504" w:hRule="atLeast"/>
        </w:trPr>
        <w:tc>
          <w:tcPr>
            <w:tcW w:w="20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0"/>
                <w:szCs w:val="20"/>
              </w:rPr>
            </w:pPr>
            <w:r>
              <w:rPr>
                <w:rFonts w:cs="Calibri"/>
                <w:color w:val="000000"/>
                <w:kern w:val="0"/>
                <w:sz w:val="20"/>
                <w:szCs w:val="20"/>
              </w:rPr>
              <w:t>本人近三年主要工作业绩和获奖情况</w:t>
            </w:r>
          </w:p>
        </w:tc>
        <w:tc>
          <w:tcPr>
            <w:tcW w:w="7989"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0"/>
                <w:szCs w:val="20"/>
              </w:rPr>
            </w:pPr>
            <w:r>
              <w:rPr>
                <w:rFonts w:cs="Calibri"/>
                <w:color w:val="000000"/>
                <w:kern w:val="0"/>
                <w:sz w:val="20"/>
                <w:szCs w:val="20"/>
              </w:rPr>
              <w:t>　</w:t>
            </w:r>
          </w:p>
        </w:tc>
      </w:tr>
      <w:tr>
        <w:tblPrEx>
          <w:tblLayout w:type="fixed"/>
          <w:tblCellMar>
            <w:top w:w="18" w:type="dxa"/>
            <w:left w:w="107" w:type="dxa"/>
            <w:bottom w:w="0" w:type="dxa"/>
            <w:right w:w="110" w:type="dxa"/>
          </w:tblCellMar>
        </w:tblPrEx>
        <w:trPr>
          <w:trHeight w:val="3696" w:hRule="atLeast"/>
        </w:trPr>
        <w:tc>
          <w:tcPr>
            <w:tcW w:w="4912" w:type="dxa"/>
            <w:gridSpan w:val="6"/>
            <w:tcBorders>
              <w:top w:val="single" w:color="000000" w:sz="4" w:space="0"/>
              <w:left w:val="single" w:color="000000" w:sz="4" w:space="0"/>
              <w:bottom w:val="single" w:color="000000" w:sz="4" w:space="0"/>
              <w:right w:val="single" w:color="auto" w:sz="4" w:space="0"/>
            </w:tcBorders>
          </w:tcPr>
          <w:p>
            <w:pPr>
              <w:widowControl/>
              <w:jc w:val="left"/>
              <w:textAlignment w:val="top"/>
              <w:rPr>
                <w:rFonts w:cs="Calibri"/>
                <w:color w:val="000000"/>
                <w:kern w:val="0"/>
                <w:sz w:val="20"/>
                <w:szCs w:val="20"/>
              </w:rPr>
            </w:pPr>
            <w:r>
              <w:rPr>
                <w:rFonts w:cs="Calibri"/>
                <w:color w:val="000000"/>
                <w:kern w:val="0"/>
                <w:sz w:val="20"/>
                <w:szCs w:val="20"/>
              </w:rPr>
              <w:t>本人承诺：</w:t>
            </w:r>
          </w:p>
          <w:p>
            <w:pPr>
              <w:widowControl/>
              <w:numPr>
                <w:ilvl w:val="0"/>
                <w:numId w:val="1"/>
              </w:numPr>
              <w:jc w:val="left"/>
              <w:textAlignment w:val="top"/>
              <w:rPr>
                <w:rStyle w:val="4"/>
                <w:rFonts w:hint="default"/>
                <w:b/>
                <w:bCs/>
                <w:sz w:val="20"/>
                <w:szCs w:val="20"/>
              </w:rPr>
            </w:pPr>
            <w:r>
              <w:rPr>
                <w:rStyle w:val="4"/>
                <w:rFonts w:hint="default"/>
                <w:b/>
                <w:bCs/>
                <w:sz w:val="20"/>
                <w:szCs w:val="20"/>
              </w:rPr>
              <w:t>本人在本表中所填写的内容及所提供的材料真实、准确。</w:t>
            </w:r>
          </w:p>
          <w:p>
            <w:pPr>
              <w:widowControl/>
              <w:numPr>
                <w:ilvl w:val="0"/>
                <w:numId w:val="1"/>
              </w:numPr>
              <w:jc w:val="left"/>
              <w:textAlignment w:val="top"/>
              <w:rPr>
                <w:rStyle w:val="4"/>
                <w:rFonts w:hint="default"/>
                <w:sz w:val="20"/>
                <w:szCs w:val="20"/>
              </w:rPr>
            </w:pPr>
            <w:r>
              <w:rPr>
                <w:rStyle w:val="4"/>
                <w:rFonts w:hint="default"/>
                <w:b/>
                <w:bCs/>
                <w:sz w:val="20"/>
                <w:szCs w:val="20"/>
              </w:rPr>
              <w:t>本人将严格遵守相关管理规定。</w:t>
            </w:r>
          </w:p>
          <w:p>
            <w:pPr>
              <w:widowControl/>
              <w:textAlignment w:val="top"/>
              <w:rPr>
                <w:sz w:val="20"/>
                <w:szCs w:val="20"/>
              </w:rPr>
            </w:pPr>
          </w:p>
          <w:p>
            <w:pPr>
              <w:widowControl/>
              <w:textAlignment w:val="top"/>
              <w:rPr>
                <w:sz w:val="20"/>
                <w:szCs w:val="20"/>
              </w:rPr>
            </w:pPr>
          </w:p>
          <w:p>
            <w:pPr>
              <w:widowControl/>
              <w:textAlignment w:val="top"/>
              <w:rPr>
                <w:sz w:val="20"/>
                <w:szCs w:val="20"/>
              </w:rPr>
            </w:pPr>
          </w:p>
          <w:p>
            <w:pPr>
              <w:widowControl/>
              <w:ind w:firstLine="2200" w:firstLineChars="1100"/>
              <w:textAlignment w:val="top"/>
              <w:rPr>
                <w:sz w:val="20"/>
                <w:szCs w:val="20"/>
              </w:rPr>
            </w:pPr>
          </w:p>
          <w:p>
            <w:pPr>
              <w:widowControl/>
              <w:ind w:firstLine="2200" w:firstLineChars="1100"/>
              <w:textAlignment w:val="top"/>
              <w:rPr>
                <w:sz w:val="20"/>
                <w:szCs w:val="20"/>
              </w:rPr>
            </w:pPr>
          </w:p>
          <w:p>
            <w:pPr>
              <w:widowControl/>
              <w:ind w:firstLine="2200" w:firstLineChars="1100"/>
              <w:textAlignment w:val="top"/>
              <w:rPr>
                <w:sz w:val="20"/>
                <w:szCs w:val="20"/>
              </w:rPr>
            </w:pPr>
            <w:r>
              <w:rPr>
                <w:rFonts w:hint="eastAsia"/>
                <w:sz w:val="20"/>
                <w:szCs w:val="20"/>
              </w:rPr>
              <w:t>本人签名：</w:t>
            </w:r>
          </w:p>
          <w:p>
            <w:pPr>
              <w:widowControl/>
              <w:jc w:val="center"/>
              <w:textAlignment w:val="top"/>
              <w:rPr>
                <w:sz w:val="20"/>
                <w:szCs w:val="20"/>
              </w:rPr>
            </w:pPr>
            <w:r>
              <w:rPr>
                <w:rFonts w:hint="eastAsia"/>
                <w:sz w:val="20"/>
                <w:szCs w:val="20"/>
              </w:rPr>
              <w:t xml:space="preserve">              年   月   日</w:t>
            </w:r>
          </w:p>
        </w:tc>
        <w:tc>
          <w:tcPr>
            <w:tcW w:w="5124" w:type="dxa"/>
            <w:gridSpan w:val="6"/>
            <w:tcBorders>
              <w:top w:val="single" w:color="000000" w:sz="4" w:space="0"/>
              <w:left w:val="single" w:color="auto" w:sz="4" w:space="0"/>
              <w:bottom w:val="single" w:color="000000" w:sz="4" w:space="0"/>
              <w:right w:val="single" w:color="000000" w:sz="4" w:space="0"/>
            </w:tcBorders>
          </w:tcPr>
          <w:p>
            <w:pPr>
              <w:widowControl/>
              <w:textAlignment w:val="top"/>
              <w:rPr>
                <w:rFonts w:cs="Calibri"/>
                <w:color w:val="000000"/>
                <w:kern w:val="0"/>
                <w:sz w:val="20"/>
                <w:szCs w:val="20"/>
              </w:rPr>
            </w:pPr>
            <w:r>
              <w:rPr>
                <w:rFonts w:cs="Calibri"/>
                <w:color w:val="000000"/>
                <w:kern w:val="0"/>
                <w:sz w:val="20"/>
                <w:szCs w:val="20"/>
              </w:rPr>
              <w:t>推荐单位（专家）意见：</w:t>
            </w:r>
          </w:p>
          <w:p>
            <w:pPr>
              <w:widowControl/>
              <w:textAlignment w:val="top"/>
              <w:rPr>
                <w:rFonts w:cs="Calibri"/>
                <w:color w:val="000000"/>
                <w:kern w:val="0"/>
                <w:sz w:val="20"/>
                <w:szCs w:val="20"/>
              </w:rPr>
            </w:pPr>
          </w:p>
          <w:p>
            <w:pPr>
              <w:widowControl/>
              <w:textAlignment w:val="top"/>
              <w:rPr>
                <w:rFonts w:cs="Calibri"/>
                <w:color w:val="000000"/>
                <w:kern w:val="0"/>
                <w:sz w:val="20"/>
                <w:szCs w:val="20"/>
              </w:rPr>
            </w:pPr>
          </w:p>
          <w:p>
            <w:pPr>
              <w:widowControl/>
              <w:textAlignment w:val="top"/>
              <w:rPr>
                <w:rFonts w:cs="Calibri"/>
                <w:color w:val="000000"/>
                <w:kern w:val="0"/>
                <w:sz w:val="20"/>
                <w:szCs w:val="20"/>
              </w:rPr>
            </w:pPr>
          </w:p>
          <w:p>
            <w:pPr>
              <w:widowControl/>
              <w:textAlignment w:val="top"/>
              <w:rPr>
                <w:rFonts w:cs="Calibri"/>
                <w:color w:val="000000"/>
                <w:kern w:val="0"/>
                <w:sz w:val="20"/>
                <w:szCs w:val="20"/>
              </w:rPr>
            </w:pPr>
          </w:p>
          <w:p>
            <w:pPr>
              <w:widowControl/>
              <w:jc w:val="center"/>
              <w:textAlignment w:val="top"/>
              <w:rPr>
                <w:rFonts w:cs="Calibri"/>
                <w:color w:val="000000"/>
                <w:kern w:val="0"/>
                <w:sz w:val="20"/>
                <w:szCs w:val="20"/>
              </w:rPr>
            </w:pPr>
            <w:r>
              <w:rPr>
                <w:rFonts w:hint="eastAsia" w:cs="Calibri"/>
                <w:color w:val="000000"/>
                <w:kern w:val="0"/>
                <w:sz w:val="20"/>
                <w:szCs w:val="20"/>
              </w:rPr>
              <w:t xml:space="preserve">           </w:t>
            </w:r>
          </w:p>
          <w:p>
            <w:pPr>
              <w:widowControl/>
              <w:jc w:val="center"/>
              <w:textAlignment w:val="top"/>
              <w:rPr>
                <w:rFonts w:cs="Calibri"/>
                <w:color w:val="000000"/>
                <w:kern w:val="0"/>
                <w:sz w:val="20"/>
                <w:szCs w:val="20"/>
              </w:rPr>
            </w:pPr>
          </w:p>
          <w:p>
            <w:pPr>
              <w:widowControl/>
              <w:jc w:val="center"/>
              <w:textAlignment w:val="top"/>
              <w:rPr>
                <w:rFonts w:cs="Calibri"/>
                <w:color w:val="000000"/>
                <w:kern w:val="0"/>
                <w:sz w:val="20"/>
                <w:szCs w:val="20"/>
              </w:rPr>
            </w:pPr>
          </w:p>
          <w:p>
            <w:pPr>
              <w:widowControl/>
              <w:jc w:val="center"/>
              <w:textAlignment w:val="top"/>
              <w:rPr>
                <w:rFonts w:cs="Calibri"/>
                <w:color w:val="000000"/>
                <w:kern w:val="0"/>
                <w:sz w:val="20"/>
                <w:szCs w:val="20"/>
              </w:rPr>
            </w:pPr>
            <w:r>
              <w:rPr>
                <w:rFonts w:hint="eastAsia" w:cs="Calibri"/>
                <w:color w:val="000000"/>
                <w:kern w:val="0"/>
                <w:sz w:val="20"/>
                <w:szCs w:val="20"/>
              </w:rPr>
              <w:t>单位（盖章）或专家（签字）</w:t>
            </w:r>
          </w:p>
          <w:p>
            <w:pPr>
              <w:widowControl/>
              <w:jc w:val="center"/>
              <w:textAlignment w:val="top"/>
              <w:rPr>
                <w:rFonts w:cs="Calibri"/>
                <w:color w:val="000000"/>
                <w:kern w:val="0"/>
                <w:sz w:val="20"/>
                <w:szCs w:val="20"/>
              </w:rPr>
            </w:pPr>
            <w:r>
              <w:rPr>
                <w:rFonts w:hint="eastAsia" w:cs="Calibri"/>
                <w:color w:val="000000"/>
                <w:kern w:val="0"/>
                <w:sz w:val="20"/>
                <w:szCs w:val="20"/>
              </w:rPr>
              <w:t xml:space="preserve">       年   月     日</w:t>
            </w:r>
          </w:p>
          <w:p>
            <w:pPr>
              <w:widowControl/>
              <w:jc w:val="center"/>
              <w:textAlignment w:val="top"/>
              <w:rPr>
                <w:rFonts w:cs="Calibri"/>
                <w:color w:val="000000"/>
                <w:kern w:val="0"/>
                <w:sz w:val="20"/>
                <w:szCs w:val="20"/>
              </w:rPr>
            </w:pPr>
            <w:r>
              <w:rPr>
                <w:rFonts w:hint="eastAsia" w:cs="Calibri"/>
                <w:color w:val="000000"/>
                <w:kern w:val="0"/>
                <w:sz w:val="20"/>
                <w:szCs w:val="20"/>
              </w:rPr>
              <w:t>（该栏如无单位签章或其他专家签字，视为自荐）</w:t>
            </w:r>
          </w:p>
        </w:tc>
      </w:tr>
      <w:tr>
        <w:tblPrEx>
          <w:tblLayout w:type="fixed"/>
          <w:tblCellMar>
            <w:top w:w="18" w:type="dxa"/>
            <w:left w:w="107" w:type="dxa"/>
            <w:bottom w:w="0" w:type="dxa"/>
            <w:right w:w="110" w:type="dxa"/>
          </w:tblCellMar>
        </w:tblPrEx>
        <w:trPr>
          <w:trHeight w:val="3482" w:hRule="atLeast"/>
        </w:trPr>
        <w:tc>
          <w:tcPr>
            <w:tcW w:w="10036" w:type="dxa"/>
            <w:gridSpan w:val="12"/>
            <w:tcBorders>
              <w:top w:val="single" w:color="000000" w:sz="4" w:space="0"/>
              <w:left w:val="single" w:color="000000" w:sz="4" w:space="0"/>
              <w:bottom w:val="single" w:color="000000" w:sz="4" w:space="0"/>
              <w:right w:val="single" w:color="000000" w:sz="4" w:space="0"/>
            </w:tcBorders>
          </w:tcPr>
          <w:p>
            <w:pPr>
              <w:widowControl/>
              <w:textAlignment w:val="top"/>
              <w:rPr>
                <w:sz w:val="20"/>
                <w:szCs w:val="20"/>
              </w:rPr>
            </w:pPr>
            <w:r>
              <w:rPr>
                <w:rFonts w:hint="eastAsia"/>
                <w:sz w:val="20"/>
                <w:szCs w:val="20"/>
              </w:rPr>
              <w:t>审核意见：</w:t>
            </w:r>
          </w:p>
          <w:p>
            <w:pPr>
              <w:widowControl/>
              <w:textAlignment w:val="top"/>
              <w:rPr>
                <w:sz w:val="20"/>
                <w:szCs w:val="20"/>
              </w:rPr>
            </w:pPr>
          </w:p>
          <w:p>
            <w:pPr>
              <w:widowControl/>
              <w:textAlignment w:val="top"/>
              <w:rPr>
                <w:sz w:val="20"/>
                <w:szCs w:val="20"/>
              </w:rPr>
            </w:pPr>
          </w:p>
          <w:p>
            <w:pPr>
              <w:widowControl/>
              <w:textAlignment w:val="top"/>
              <w:rPr>
                <w:sz w:val="20"/>
                <w:szCs w:val="20"/>
              </w:rPr>
            </w:pPr>
          </w:p>
          <w:p>
            <w:pPr>
              <w:widowControl/>
              <w:textAlignment w:val="top"/>
              <w:rPr>
                <w:sz w:val="20"/>
                <w:szCs w:val="20"/>
              </w:rPr>
            </w:pPr>
          </w:p>
          <w:p>
            <w:pPr>
              <w:widowControl/>
              <w:textAlignment w:val="top"/>
              <w:rPr>
                <w:sz w:val="20"/>
                <w:szCs w:val="20"/>
              </w:rPr>
            </w:pPr>
          </w:p>
          <w:p>
            <w:pPr>
              <w:widowControl/>
              <w:textAlignment w:val="top"/>
              <w:rPr>
                <w:sz w:val="20"/>
                <w:szCs w:val="20"/>
              </w:rPr>
            </w:pPr>
          </w:p>
          <w:p>
            <w:pPr>
              <w:widowControl/>
              <w:textAlignment w:val="top"/>
              <w:rPr>
                <w:sz w:val="20"/>
                <w:szCs w:val="20"/>
              </w:rPr>
            </w:pPr>
          </w:p>
          <w:p>
            <w:pPr>
              <w:widowControl/>
              <w:textAlignment w:val="top"/>
              <w:rPr>
                <w:sz w:val="20"/>
                <w:szCs w:val="20"/>
              </w:rPr>
            </w:pPr>
          </w:p>
          <w:p>
            <w:pPr>
              <w:widowControl/>
              <w:textAlignment w:val="top"/>
              <w:rPr>
                <w:sz w:val="20"/>
                <w:szCs w:val="20"/>
              </w:rPr>
            </w:pPr>
          </w:p>
          <w:p>
            <w:pPr>
              <w:widowControl/>
              <w:textAlignment w:val="top"/>
              <w:rPr>
                <w:sz w:val="20"/>
                <w:szCs w:val="20"/>
              </w:rPr>
            </w:pPr>
            <w:r>
              <w:rPr>
                <w:rFonts w:hint="eastAsia"/>
                <w:sz w:val="20"/>
                <w:szCs w:val="20"/>
              </w:rPr>
              <w:t>经办人（签名）：               审核人（签名）：               审批人（签名）：</w:t>
            </w:r>
          </w:p>
          <w:p>
            <w:pPr>
              <w:widowControl/>
              <w:textAlignment w:val="top"/>
              <w:rPr>
                <w:sz w:val="20"/>
                <w:szCs w:val="20"/>
              </w:rPr>
            </w:pPr>
          </w:p>
        </w:tc>
      </w:tr>
    </w:tbl>
    <w:tbl>
      <w:tblPr>
        <w:tblStyle w:val="3"/>
        <w:tblpPr w:leftFromText="180" w:rightFromText="180" w:vertAnchor="text" w:tblpX="10214" w:tblpY="-2851"/>
        <w:tblOverlap w:val="never"/>
        <w:tblW w:w="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750" w:type="dxa"/>
          </w:tcPr>
          <w:p>
            <w:pPr>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750" w:type="dxa"/>
          </w:tcPr>
          <w:p>
            <w:pPr>
              <w:jc w:val="left"/>
              <w:rPr>
                <w:sz w:val="20"/>
                <w:szCs w:val="20"/>
              </w:rPr>
            </w:pPr>
          </w:p>
        </w:tc>
      </w:tr>
    </w:tbl>
    <w:p>
      <w:pPr>
        <w:tabs>
          <w:tab w:val="left" w:pos="426"/>
        </w:tabs>
        <w:jc w:val="left"/>
        <w:rPr>
          <w:rFonts w:ascii="宋体" w:hAnsi="宋体"/>
          <w:szCs w:val="21"/>
        </w:rPr>
      </w:pPr>
      <w:r>
        <w:rPr>
          <w:rFonts w:hint="eastAsia" w:ascii="宋体" w:hAnsi="宋体"/>
          <w:szCs w:val="21"/>
        </w:rPr>
        <w:t>注：1.请附本人身份证、毕业证或者学位证、专业技术职称资格证书、专业执业资格证书或者能够证明本人技术能力的文件复印件。</w:t>
      </w:r>
    </w:p>
    <w:p>
      <w:pPr>
        <w:ind w:firstLine="420" w:firstLineChars="200"/>
        <w:jc w:val="left"/>
        <w:rPr>
          <w:rFonts w:ascii="宋体" w:hAnsi="宋体"/>
          <w:szCs w:val="21"/>
        </w:rPr>
      </w:pPr>
      <w:r>
        <w:rPr>
          <w:rFonts w:hint="eastAsia" w:ascii="宋体" w:hAnsi="宋体"/>
          <w:szCs w:val="21"/>
        </w:rPr>
        <w:t xml:space="preserve">2.专业类别与编码，由申报涉医类的申请人填报，其余类别无需填报，编码根据附件3的《医疗医药类学科分类与代码》填报。 </w:t>
      </w:r>
    </w:p>
    <w:p>
      <w:pPr>
        <w:spacing w:line="560" w:lineRule="exact"/>
        <w:jc w:val="left"/>
        <w:rPr>
          <w:rFonts w:ascii="黑体" w:hAnsi="黑体" w:eastAsia="黑体" w:cs="仿宋_GB2312"/>
          <w:bCs/>
          <w:sz w:val="32"/>
          <w:szCs w:val="32"/>
        </w:rPr>
      </w:pPr>
      <w:r>
        <w:rPr>
          <w:rFonts w:hint="eastAsia" w:ascii="黑体" w:hAnsi="黑体" w:eastAsia="黑体" w:cs="仿宋_GB2312"/>
          <w:bCs/>
          <w:sz w:val="32"/>
          <w:szCs w:val="32"/>
        </w:rPr>
        <w:t>附件2</w:t>
      </w:r>
    </w:p>
    <w:p>
      <w:pPr>
        <w:spacing w:line="560" w:lineRule="exact"/>
        <w:jc w:val="left"/>
        <w:rPr>
          <w:rFonts w:ascii="仿宋_GB2312" w:hAnsi="仿宋_GB2312" w:eastAsia="仿宋_GB2312" w:cs="仿宋_GB2312"/>
          <w:b/>
          <w:bCs/>
          <w:sz w:val="32"/>
          <w:szCs w:val="32"/>
        </w:rPr>
      </w:pPr>
    </w:p>
    <w:p>
      <w:pPr>
        <w:spacing w:line="560" w:lineRule="exact"/>
        <w:jc w:val="center"/>
        <w:rPr>
          <w:rFonts w:ascii="方正小标宋简体" w:hAnsi="黑体" w:eastAsia="方正小标宋简体" w:cs="黑体"/>
          <w:bCs/>
          <w:sz w:val="40"/>
          <w:szCs w:val="32"/>
        </w:rPr>
      </w:pPr>
      <w:r>
        <w:rPr>
          <w:rFonts w:hint="eastAsia" w:ascii="方正小标宋简体" w:hAnsi="黑体" w:eastAsia="方正小标宋简体" w:cs="黑体"/>
          <w:bCs/>
          <w:sz w:val="40"/>
          <w:szCs w:val="32"/>
        </w:rPr>
        <w:t>专家承诺书</w:t>
      </w:r>
    </w:p>
    <w:p>
      <w:pPr>
        <w:spacing w:line="560" w:lineRule="exact"/>
        <w:jc w:val="cente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根据《广西壮族自治区医疗保障局医疗保障评审专家管理暂行办法》及有关规定，本人就参加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项目评审工作，郑重承诺如下：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一、正确履职。在评审过程中严格遵守相关法律、法规和规章规定，客观、公正、廉洁地履行职责。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二、坚持原则。抵制各方不合理要求；严格按照法律法规和相关规定要求对评审项目从专业角度进行评判，提供科学合理、客观公正的评审意见，并承担个人责任。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三、保守秘密。不泄漏、擅自使用知悉的项目信息和商业信息。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四、遵守回避。清楚知道本项目各参与方的情况，并与之无任何利害关系；与关联单位未发生过法律纠纷，没有其他可能影响公正评审的情况，不存在需要回避的情形。</w:t>
      </w:r>
    </w:p>
    <w:p>
      <w:pPr>
        <w:ind w:firstLine="5440" w:firstLineChars="1700"/>
        <w:rPr>
          <w:rFonts w:ascii="仿宋_GB2312" w:hAnsi="仿宋_GB2312" w:eastAsia="仿宋_GB2312" w:cs="仿宋_GB2312"/>
          <w:sz w:val="32"/>
          <w:szCs w:val="32"/>
        </w:rPr>
      </w:pPr>
    </w:p>
    <w:p>
      <w:pPr>
        <w:ind w:firstLine="5440" w:firstLineChars="1700"/>
        <w:rPr>
          <w:rFonts w:ascii="仿宋_GB2312" w:hAnsi="仿宋_GB2312" w:eastAsia="仿宋_GB2312" w:cs="仿宋_GB2312"/>
          <w:sz w:val="32"/>
          <w:szCs w:val="32"/>
        </w:rPr>
      </w:pPr>
    </w:p>
    <w:p>
      <w:pPr>
        <w:ind w:firstLine="4800" w:firstLineChars="1500"/>
        <w:rPr>
          <w:rFonts w:ascii="仿宋_GB2312" w:hAnsi="仿宋_GB2312" w:eastAsia="仿宋_GB2312" w:cs="仿宋_GB2312"/>
          <w:sz w:val="32"/>
          <w:szCs w:val="32"/>
        </w:rPr>
      </w:pPr>
      <w:r>
        <w:rPr>
          <w:rFonts w:hint="eastAsia" w:ascii="仿宋_GB2312" w:hAnsi="仿宋_GB2312" w:eastAsia="仿宋_GB2312" w:cs="仿宋_GB2312"/>
          <w:sz w:val="32"/>
          <w:szCs w:val="32"/>
        </w:rPr>
        <w:t>专家签名：</w:t>
      </w:r>
    </w:p>
    <w:p>
      <w:pPr>
        <w:ind w:firstLine="4819" w:firstLineChars="1506"/>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p>
    <w:p>
      <w:pPr>
        <w:jc w:val="center"/>
        <w:rPr>
          <w:rFonts w:ascii="仿宋_GB2312" w:hAnsi="仿宋_GB2312" w:eastAsia="仿宋_GB2312" w:cs="仿宋_GB2312"/>
          <w:sz w:val="32"/>
          <w:szCs w:val="32"/>
        </w:rPr>
      </w:pPr>
    </w:p>
    <w:p>
      <w:pPr>
        <w:spacing w:line="540" w:lineRule="exact"/>
        <w:jc w:val="left"/>
        <w:rPr>
          <w:rFonts w:ascii="黑体" w:hAnsi="黑体" w:eastAsia="黑体" w:cs="仿宋_GB2312"/>
          <w:sz w:val="32"/>
          <w:szCs w:val="32"/>
        </w:rPr>
      </w:pPr>
      <w:r>
        <w:rPr>
          <w:rFonts w:hint="eastAsia" w:ascii="黑体" w:hAnsi="黑体" w:eastAsia="黑体" w:cs="仿宋_GB2312"/>
          <w:sz w:val="32"/>
          <w:szCs w:val="32"/>
        </w:rPr>
        <w:t>附件3</w:t>
      </w:r>
    </w:p>
    <w:p>
      <w:pPr>
        <w:spacing w:line="540" w:lineRule="exact"/>
        <w:jc w:val="left"/>
        <w:rPr>
          <w:rFonts w:ascii="仿宋_GB2312" w:hAnsi="仿宋_GB2312" w:eastAsia="仿宋_GB2312" w:cs="仿宋_GB2312"/>
          <w:sz w:val="32"/>
          <w:szCs w:val="32"/>
        </w:rPr>
      </w:pPr>
    </w:p>
    <w:p>
      <w:pPr>
        <w:spacing w:line="540" w:lineRule="exact"/>
        <w:jc w:val="center"/>
        <w:rPr>
          <w:rFonts w:ascii="方正小标宋简体" w:hAnsi="黑体" w:eastAsia="方正小标宋简体" w:cs="黑体"/>
          <w:bCs/>
          <w:sz w:val="40"/>
          <w:szCs w:val="32"/>
        </w:rPr>
      </w:pPr>
      <w:r>
        <w:rPr>
          <w:rFonts w:hint="eastAsia" w:ascii="方正小标宋简体" w:hAnsi="黑体" w:eastAsia="方正小标宋简体" w:cs="黑体"/>
          <w:bCs/>
          <w:sz w:val="40"/>
          <w:szCs w:val="32"/>
        </w:rPr>
        <w:t>医疗医药类学科分类与代码</w:t>
      </w:r>
    </w:p>
    <w:p>
      <w:pPr>
        <w:spacing w:line="540" w:lineRule="exact"/>
        <w:jc w:val="center"/>
        <w:rPr>
          <w:rFonts w:ascii="黑体" w:hAnsi="黑体" w:eastAsia="黑体" w:cs="黑体"/>
          <w:b/>
          <w:bCs/>
          <w:sz w:val="32"/>
          <w:szCs w:val="32"/>
        </w:rPr>
      </w:pPr>
    </w:p>
    <w:tbl>
      <w:tblPr>
        <w:tblStyle w:val="3"/>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''310　基础医学'''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310.11　医学生物化学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310.14　人体解剖学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310.1410　系统解剖学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310.1420　局部解剖学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310.1499　人体解剖学其他学科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310.17　医学细胞生物学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310.21　人体生理学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310.24　人体组织胚胎学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310.27　医学遗传学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310.31　放射医学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310.34　人体免疫学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310.37　医学寄生虫学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310.3710　医学寄生虫免疫学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310.3720　医学昆虫学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310.3730　医学蠕虫学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310.3740　医学原虫学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310.3799　医学寄生虫学其他学科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310.41　医学微生物学(包括医学病毒学等)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310.44　病理学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310.4410　病理生物学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310.4420　病理解剖学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310.4430　病理生理学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310.4440　免疫病理学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310.4450　实验病理学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310.4460　比较病理学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310.4470　系统病理学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310.4480　环境病理学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310.4499　病理学其他学科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310.47　药理学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310.4710　基础药理学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310.4720　临床药理学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310.4730　生化药理学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310.4740　分子药理学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310.4750　免疫药理学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310.4799　药理学其他学科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310.51　医学实验动物学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310.54　医学心理学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310.57　医学统计学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310.61　生物医学工程学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310.6110　生物医学电子学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310.6120　临床工程学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310.6130　康复工程学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310.6140　生物医学测量学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310.6150　人工器官与生物医学材料学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310.6199　生物医学工程学其他学科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310.99　基础医学其他学科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''320　临床医学'''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320.11　临床诊断学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320.1110　症状诊断学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320.1120　物理诊断学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320.1130　机能诊断学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320.1140　医学影象学(包括放射诊断学、同位素诊断学、超声诊断学等)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320.1150　临床放射学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320.1160　实验诊断学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320.1199　临床诊断学其他学科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320.14　保健医学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320.1410　康复医学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320.1420　运动医学(包括力学运动医学等)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320.1430　老年医学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320.1499　保健医学其他学科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320.17　理疗学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320.21　麻醉学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320.2110　麻醉生理学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320.2120　麻醉药理学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320.2130　麻醉应用解剖学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320.2199　麻醉学其他学科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320.24　内科学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320.2410　心血管病学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320.2415　呼吸病学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320.2420　结核病学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320.2425　胃肠病学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320.2430　血液病学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320.2435　肾脏病学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320.2440　内分泌学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320.2445　风湿病学与自体免疫病学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320.2450　变态反应学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320.2455　感染性疾病学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320.2499　内科学其他学科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320.27　外科学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320.2710　普通外科学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320.2715　显微外科学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320.2720　神经外科学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320.2725　颅脑外科学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320.2730　胸外科学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320.2735　心血管外科学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320.2740　泌尿外科学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320.2745　骨外科学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320.2750　烧伤外科学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320.2755　整形外科学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320.2760　器官移植外科学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320.2765　实验外科学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320.2799　外科学其他学科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320.31　妇产科学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320.3110　妇科学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320.3120　产科学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320.3130　围产医学(亦称围生医学)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320.3140　助产学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320.3150　胎儿学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320.3160　妇科产科手术学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320.3199　妇产科学其他学科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320.34　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320.37　眼科学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320.41　耳鼻咽喉科学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320.44　口腔医学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320.4410　口腔解剖生理学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320.4415　口腔组织学与口腔病理学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320.4420　口腔材料学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320.4425　口腔影象诊断学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320.4430　口腔内科学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320.4435　口腔颌面外科学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320.4440　口腔矫形学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320.4445　口腔正畸学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320.4450　口腔病预防学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320.4499　口腔医学其他学科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320.47　皮肤病学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320.51　性医学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320.54　神经病学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320.57　精神病学(包括精神卫生及行为医学等)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320.61　急诊医学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320.64　核医学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320.67　肿瘤学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320.6710　肿瘤免疫学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320.6720　肿瘤病因学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320.6730　肿瘤病理学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320.6740　肿瘤诊断学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320.6750　肿瘤治疗学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320.6760　肿瘤预防学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320.6770　实验肿瘤学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320.6799　肿瘤学其他学科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320.71　护理学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320.7110　基础护理学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320.7120　专科护理学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320.7130　特殊护理学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320.7140　护理心理学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320.7150　护理伦理学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320.7160　护理管理学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320.7199　护理学其他学科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320.99　临床医学其他学科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''330　预防医学与卫生学'''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330.11　营养学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330.14　毒理学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330.17　消毒学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330.21　流行病学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330.24　传染病学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330.27　媒介生物控制学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330.31　环境医学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330.34　职业病学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330.37　地方病学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330.41　社会医学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330.44　卫生检验学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330.47　食品卫生学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330.51　儿少卫生学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330.54　妇幼卫生学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330.57　环境卫生学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330.61　劳动卫生学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330.64　放射卫生学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330.67　卫生工程学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330.71　卫生经济学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330.74　优生学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330.77　健康教育学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330.81　卫生管理学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330.99　预防医学与卫生学其他学科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''340　军事医学与特种医学'''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340.10　军事医学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340.1010　野战外科学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340.1015　军队流行病学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340.1020　军事环境医学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340.1025　军队卫生学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340.1030　军队卫生装备学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　　340.1035　军事人机工效学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　　340.1040　核武器医学防护学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　　340.1045　化学武器医学防护学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　　340.1050　生物武器医学防护学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　　340.1055　激光与微波医学防护学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　　340.1099　军事医学其他学科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　340.20　特种医学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　　340.2010　航空航天医学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　　340.2020　潜水医学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　　340.2030　航海医学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　　340.2040　法医学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　　340.2099　特种医学其他学科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　340.99　军事医学与特种医学其他学科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''350　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350.10　药物化学(包括天然药物化学等)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350.20　生物药物学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350.25　微生物药物学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350.30　放射性药物学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350.35　药剂学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350.40　药效学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350.45　药物管理学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350.50　药物统计学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350.99　药学其他学科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''360　中医学与中药学'''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360.10　中医学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360.1011　中医基础理论(包括经络学等)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360.1014　中医诊断学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360.1017　中医内科学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360.1021　中医外科学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360.1024　中医骨伤科学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360.1027　中医妇科学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360.1031　中医儿科学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360.1034　中医眼科学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360.1037　中医耳鼻咽喉科学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360.1041　中医口腔科学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360.1044　中医老年病学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360.1047　针灸学(包括针刺镇痛与麻醉等)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360.1051　按摩推拿学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360.1054　中医养生康复学(包括气功研究等)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360.1057　中医护理学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360.1061　中医食疗学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360.1064　方剂学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360.1067　中医文献学(包括难经、内经、伤寒论、金匮要略、腧穴学等)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360.1099　中医学其他学科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360.20　民族医学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360.30　中西医结合医学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360.40　中药学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360.4010　中药化学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360.4015　中药药理学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360.4020　本草学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360.4025　药用植物学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360.4030　中药鉴定学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360.4035　中药炮制学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360.4040　中药药剂学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360.4045　中药资源学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360.4050　中药管理学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360.4099　中药学其他学科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003" w:type="dxa"/>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360.99　中医学与中药学其他学科</w:t>
            </w:r>
          </w:p>
        </w:tc>
      </w:tr>
    </w:tbl>
    <w:p/>
    <w:sectPr>
      <w:pgSz w:w="11906" w:h="16838"/>
      <w:pgMar w:top="1928" w:right="1417" w:bottom="1814" w:left="1417" w:header="851" w:footer="1134" w:gutter="0"/>
      <w:cols w:space="0" w:num="1"/>
      <w:rtlGutter w:val="0"/>
      <w:docGrid w:type="lines" w:linePitch="4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2FF0AD"/>
    <w:multiLevelType w:val="singleLevel"/>
    <w:tmpl w:val="AF2FF0AD"/>
    <w:lvl w:ilvl="0" w:tentative="0">
      <w:start w:val="1"/>
      <w:numFmt w:val="decimal"/>
      <w:lvlText w:val="%1."/>
      <w:lvlJc w:val="left"/>
      <w:pPr>
        <w:tabs>
          <w:tab w:val="left" w:pos="312"/>
        </w:tabs>
      </w:pPr>
      <w:rPr>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040090"/>
    <w:rsid w:val="24171F74"/>
    <w:rsid w:val="7204009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71"/>
    <w:basedOn w:val="2"/>
    <w:qFormat/>
    <w:uiPriority w:val="0"/>
    <w:rPr>
      <w:rFonts w:hint="eastAsia" w:ascii="宋体" w:hAnsi="宋体" w:eastAsia="宋体" w:cs="宋体"/>
      <w:color w:val="000000"/>
      <w:sz w:val="16"/>
      <w:szCs w:val="16"/>
      <w:u w:val="none"/>
    </w:rPr>
  </w:style>
  <w:style w:type="character" w:customStyle="1" w:styleId="5">
    <w:name w:val="font61"/>
    <w:basedOn w:val="2"/>
    <w:qFormat/>
    <w:uiPriority w:val="0"/>
    <w:rPr>
      <w:rFonts w:hint="default" w:ascii="Calibri" w:hAnsi="Calibri" w:cs="Calibri"/>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gxnews</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2021-12-29T12:58:00Z</dcterms:created>
  <dc:creator>dengd</dc:creator>
  <cp:lastModifiedBy>dengd</cp:lastModifiedBy>
  <dcterms:modified xsi:type="dcterms:W3CDTF">2021-12-29T12:59:11Z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