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line="560" w:lineRule="exac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附件1</w:t>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r>
        <w:rPr>
          <w:rFonts w:hint="eastAsia" w:ascii="黑体" w:hAnsi="黑体" w:eastAsia="黑体" w:cs="黑体"/>
          <w:bCs/>
          <w:color w:val="000000"/>
          <w:sz w:val="32"/>
          <w:szCs w:val="32"/>
          <w:shd w:val="clear" w:color="auto" w:fill="FFFFFF"/>
        </w:rPr>
        <w:tab/>
      </w:r>
    </w:p>
    <w:p>
      <w:pPr>
        <w:pStyle w:val="5"/>
        <w:widowControl/>
        <w:shd w:val="clear" w:color="auto" w:fill="FFFFFF"/>
        <w:spacing w:line="560" w:lineRule="exact"/>
        <w:jc w:val="center"/>
        <w:rPr>
          <w:rFonts w:ascii="方正小标宋简体" w:hAnsi="黑体" w:eastAsia="方正小标宋简体" w:cs="黑体"/>
          <w:bCs/>
          <w:color w:val="000000"/>
          <w:sz w:val="44"/>
          <w:szCs w:val="44"/>
          <w:shd w:val="clear" w:color="auto" w:fill="FFFFFF"/>
        </w:rPr>
      </w:pPr>
      <w:r>
        <w:rPr>
          <w:rFonts w:hint="eastAsia" w:ascii="方正小标宋简体" w:hAnsi="黑体" w:eastAsia="方正小标宋简体" w:cs="黑体"/>
          <w:bCs/>
          <w:color w:val="000000"/>
          <w:sz w:val="44"/>
          <w:szCs w:val="44"/>
          <w:shd w:val="clear" w:color="auto" w:fill="FFFFFF"/>
        </w:rPr>
        <w:t>广西医疗服务项目价格表（口腔种植类）（试行）</w:t>
      </w:r>
    </w:p>
    <w:p>
      <w:pPr>
        <w:pStyle w:val="5"/>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说明：</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5"/>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1.本表格所指植入体为种植体、基台等植入牙床、包裹在牙龈内的医用耗材，置入体是指种植牙冠、义齿等安置在口腔内、暴露在牙龈之外，不与人体组织直接结合的医用耗材。</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5"/>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2.本表格所称“项目内涵”，指制定项目价格应涵盖的各类资源消耗，用于确定计价单元的边界，不应作为临床技术标准理解，不是医疗服务实际操作方式、路径、步骤、程序的强制性要求。医疗机构提供服务时，内涵中个别要素因患者个体差异可以不发生的，应允许医疗机构收费适用相应的项目和价格政策，另有政策规定的除外。</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5"/>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3.本表格所称“基本物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基本物耗成本计入项目价格，不另行收费。除基本物耗以外的其他耗材，按照实际采购价格零差率销售。</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5"/>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4.即刻种植指拔牙或牙齿缺失当日完成种植体植入的情况；即刻修复指种植体植入后1周以内完成牙冠置入的情形。</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5"/>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5.医疗机构应对本院施治的口腔内牙齿缺失植入体、置入体进行保质保修，保修范围内出现损坏，医疗机构应免费进行修理、再制作，不得向患者收费。</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5"/>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6.本表格所列的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r>
        <w:rPr>
          <w:rFonts w:hint="eastAsia" w:ascii="仿宋_GB2312" w:hAnsi="黑体" w:eastAsia="仿宋_GB2312" w:cs="黑体"/>
          <w:bCs/>
          <w:color w:val="000000"/>
          <w:shd w:val="clear" w:color="auto" w:fill="FFFFFF"/>
        </w:rPr>
        <w:tab/>
      </w:r>
    </w:p>
    <w:p>
      <w:pPr>
        <w:pStyle w:val="5"/>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7.政策衔接：口腔种植是一个周期较长的治疗过程，为做好政策衔接，在本通知出台前尚未完成全过程口腔种植治疗的，按口腔种植治疗完成阶段执行价格政策，具体如下：</w:t>
      </w:r>
    </w:p>
    <w:p>
      <w:pPr>
        <w:pStyle w:val="5"/>
        <w:widowControl/>
        <w:shd w:val="clear" w:color="auto" w:fill="FFFFFF"/>
        <w:spacing w:before="0" w:beforeAutospacing="0" w:after="0" w:afterAutospacing="0" w:line="540" w:lineRule="exact"/>
        <w:rPr>
          <w:rFonts w:ascii="仿宋_GB2312" w:hAnsi="黑体" w:eastAsia="仿宋_GB2312" w:cs="黑体"/>
          <w:bCs/>
          <w:color w:val="000000"/>
          <w:shd w:val="clear" w:color="auto" w:fill="FFFFFF"/>
        </w:rPr>
      </w:pPr>
      <w:r>
        <w:rPr>
          <w:rFonts w:hint="eastAsia" w:ascii="仿宋_GB2312" w:hAnsi="黑体" w:eastAsia="仿宋_GB2312" w:cs="黑体"/>
          <w:bCs/>
          <w:color w:val="000000"/>
          <w:shd w:val="clear" w:color="auto" w:fill="FFFFFF"/>
        </w:rPr>
        <w:t>（1）尚未制定口腔种植设计方案。按本通知价格政策执行。</w:t>
      </w:r>
    </w:p>
    <w:p>
      <w:pPr>
        <w:spacing w:line="560" w:lineRule="exact"/>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（2）已完成口腔种植设计方案，尚未进行口腔种植一期手术。种植项目按本通知相关项目价格80%执行。</w:t>
      </w:r>
    </w:p>
    <w:p>
      <w:pPr>
        <w:spacing w:line="560" w:lineRule="exact"/>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（3）已完成口腔种植一期手术，尚未进行口腔种植二期手术。种植项目按本通知相关项目价格30%执行。</w:t>
      </w:r>
    </w:p>
    <w:p>
      <w:pPr>
        <w:spacing w:line="560" w:lineRule="exact"/>
        <w:rPr>
          <w:rFonts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（4）已完成口腔种植二期手术，尚未进行种植修复。不再收取种植相关项目，按本通知要求收取种植修复相关项目。</w:t>
      </w:r>
    </w:p>
    <w:p>
      <w:pPr>
        <w:spacing w:line="560" w:lineRule="exact"/>
        <w:ind w:firstLine="640"/>
        <w:rPr>
          <w:rFonts w:hint="eastAsia" w:ascii="仿宋_GB2312" w:hAnsi="黑体" w:eastAsia="仿宋_GB2312" w:cs="黑体"/>
          <w:bCs/>
          <w:color w:val="000000"/>
          <w:kern w:val="0"/>
          <w:sz w:val="24"/>
          <w:shd w:val="clear" w:color="auto" w:fill="FFFFFF"/>
        </w:rPr>
      </w:pPr>
      <w:r>
        <w:rPr>
          <w:rFonts w:hint="eastAsia" w:ascii="仿宋_GB2312" w:hAnsi="黑体" w:eastAsia="仿宋_GB2312" w:cs="黑体"/>
          <w:bCs/>
          <w:color w:val="000000"/>
          <w:kern w:val="0"/>
          <w:sz w:val="24"/>
          <w:shd w:val="clear" w:color="auto" w:fill="FFFFFF"/>
        </w:rPr>
        <w:t>以上阶段，以病历记录及实际诊疗操作日期为准。</w:t>
      </w:r>
    </w:p>
    <w:p>
      <w:pPr>
        <w:pStyle w:val="2"/>
        <w:rPr>
          <w:rFonts w:hint="eastAsia"/>
        </w:rPr>
      </w:pPr>
      <w:bookmarkStart w:id="0" w:name="_GoBack"/>
      <w:bookmarkEnd w:id="0"/>
    </w:p>
    <w:tbl>
      <w:tblPr>
        <w:tblStyle w:val="6"/>
        <w:tblW w:w="21704" w:type="dxa"/>
        <w:tblInd w:w="-459" w:type="dxa"/>
        <w:tblLayout w:type="autofit"/>
        <w:tblCellMar>
          <w:top w:w="0" w:type="dxa"/>
          <w:left w:w="108" w:type="dxa"/>
          <w:bottom w:w="0" w:type="dxa"/>
          <w:right w:w="108" w:type="dxa"/>
        </w:tblCellMar>
      </w:tblPr>
      <w:tblGrid>
        <w:gridCol w:w="541"/>
        <w:gridCol w:w="751"/>
        <w:gridCol w:w="1536"/>
        <w:gridCol w:w="2016"/>
        <w:gridCol w:w="2806"/>
        <w:gridCol w:w="3544"/>
        <w:gridCol w:w="2060"/>
        <w:gridCol w:w="914"/>
        <w:gridCol w:w="1056"/>
        <w:gridCol w:w="1056"/>
        <w:gridCol w:w="1056"/>
        <w:gridCol w:w="2194"/>
        <w:gridCol w:w="2174"/>
      </w:tblGrid>
      <w:tr>
        <w:tblPrEx>
          <w:tblCellMar>
            <w:top w:w="0" w:type="dxa"/>
            <w:left w:w="108" w:type="dxa"/>
            <w:bottom w:w="0" w:type="dxa"/>
            <w:right w:w="108" w:type="dxa"/>
          </w:tblCellMar>
        </w:tblPrEx>
        <w:trPr>
          <w:trHeight w:val="240" w:hRule="atLeast"/>
          <w:tblHeader/>
        </w:trPr>
        <w:tc>
          <w:tcPr>
            <w:tcW w:w="5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序号</w:t>
            </w:r>
          </w:p>
        </w:tc>
        <w:tc>
          <w:tcPr>
            <w:tcW w:w="7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财务分类</w:t>
            </w:r>
          </w:p>
        </w:tc>
        <w:tc>
          <w:tcPr>
            <w:tcW w:w="153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项目编码</w:t>
            </w:r>
          </w:p>
        </w:tc>
        <w:tc>
          <w:tcPr>
            <w:tcW w:w="201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国家编码</w:t>
            </w:r>
          </w:p>
        </w:tc>
        <w:tc>
          <w:tcPr>
            <w:tcW w:w="28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项目名称</w:t>
            </w:r>
          </w:p>
        </w:tc>
        <w:tc>
          <w:tcPr>
            <w:tcW w:w="35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项目内涵</w:t>
            </w:r>
          </w:p>
        </w:tc>
        <w:tc>
          <w:tcPr>
            <w:tcW w:w="20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除外内容</w:t>
            </w:r>
          </w:p>
        </w:tc>
        <w:tc>
          <w:tcPr>
            <w:tcW w:w="9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计价单位</w:t>
            </w:r>
          </w:p>
        </w:tc>
        <w:tc>
          <w:tcPr>
            <w:tcW w:w="3168" w:type="dxa"/>
            <w:gridSpan w:val="3"/>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价格</w:t>
            </w:r>
          </w:p>
        </w:tc>
        <w:tc>
          <w:tcPr>
            <w:tcW w:w="21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说明</w:t>
            </w:r>
          </w:p>
        </w:tc>
        <w:tc>
          <w:tcPr>
            <w:tcW w:w="21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bCs/>
                <w:color w:val="000000"/>
                <w:kern w:val="0"/>
                <w:sz w:val="24"/>
              </w:rPr>
            </w:pPr>
            <w:r>
              <w:rPr>
                <w:rFonts w:hint="eastAsia" w:ascii="黑体" w:hAnsi="黑体" w:eastAsia="黑体" w:cs="宋体"/>
                <w:b/>
                <w:bCs/>
                <w:color w:val="000000"/>
                <w:kern w:val="0"/>
                <w:sz w:val="24"/>
              </w:rPr>
              <w:t>备注</w:t>
            </w:r>
          </w:p>
        </w:tc>
      </w:tr>
      <w:tr>
        <w:tblPrEx>
          <w:tblCellMar>
            <w:top w:w="0" w:type="dxa"/>
            <w:left w:w="108" w:type="dxa"/>
            <w:bottom w:w="0" w:type="dxa"/>
            <w:right w:w="108" w:type="dxa"/>
          </w:tblCellMar>
        </w:tblPrEx>
        <w:trPr>
          <w:trHeight w:val="480" w:hRule="atLeast"/>
          <w:tblHeader/>
        </w:trPr>
        <w:tc>
          <w:tcPr>
            <w:tcW w:w="54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153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20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280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354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206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9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b/>
                <w:bCs/>
                <w:color w:val="000000"/>
                <w:kern w:val="0"/>
                <w:sz w:val="24"/>
              </w:rPr>
            </w:pPr>
          </w:p>
        </w:tc>
        <w:tc>
          <w:tcPr>
            <w:tcW w:w="1056"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宋体"/>
                <w:b/>
                <w:bCs/>
                <w:kern w:val="0"/>
                <w:sz w:val="24"/>
                <w:lang w:eastAsia="zh-CN"/>
              </w:rPr>
            </w:pPr>
            <w:r>
              <w:rPr>
                <w:rFonts w:hint="eastAsia" w:ascii="黑体" w:hAnsi="黑体" w:eastAsia="黑体" w:cs="宋体"/>
                <w:b/>
                <w:bCs/>
                <w:kern w:val="0"/>
                <w:sz w:val="24"/>
              </w:rPr>
              <w:t>一级</w:t>
            </w:r>
          </w:p>
          <w:p>
            <w:pPr>
              <w:widowControl/>
              <w:jc w:val="center"/>
              <w:rPr>
                <w:rFonts w:ascii="黑体" w:hAnsi="黑体" w:eastAsia="黑体" w:cs="宋体"/>
                <w:b/>
                <w:bCs/>
                <w:kern w:val="0"/>
                <w:sz w:val="24"/>
              </w:rPr>
            </w:pPr>
            <w:r>
              <w:rPr>
                <w:rFonts w:hint="eastAsia" w:ascii="黑体" w:hAnsi="黑体" w:eastAsia="黑体" w:cs="宋体"/>
                <w:b/>
                <w:bCs/>
                <w:kern w:val="0"/>
                <w:sz w:val="24"/>
              </w:rPr>
              <w:t>及以下</w:t>
            </w:r>
          </w:p>
        </w:tc>
        <w:tc>
          <w:tcPr>
            <w:tcW w:w="1056"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二级</w:t>
            </w:r>
          </w:p>
        </w:tc>
        <w:tc>
          <w:tcPr>
            <w:tcW w:w="1056"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b/>
                <w:bCs/>
                <w:kern w:val="0"/>
                <w:sz w:val="24"/>
              </w:rPr>
            </w:pPr>
            <w:r>
              <w:rPr>
                <w:rFonts w:hint="eastAsia" w:ascii="黑体" w:hAnsi="黑体" w:eastAsia="黑体" w:cs="宋体"/>
                <w:b/>
                <w:bCs/>
                <w:kern w:val="0"/>
                <w:sz w:val="24"/>
              </w:rPr>
              <w:t>三级</w:t>
            </w:r>
          </w:p>
        </w:tc>
        <w:tc>
          <w:tcPr>
            <w:tcW w:w="2194" w:type="dxa"/>
            <w:vMerge w:val="continue"/>
            <w:tcBorders>
              <w:top w:val="single" w:color="auto" w:sz="4" w:space="0"/>
              <w:left w:val="single" w:color="auto" w:sz="4" w:space="0"/>
              <w:bottom w:val="single" w:color="auto" w:sz="4" w:space="0"/>
              <w:right w:val="single" w:color="auto" w:sz="4" w:space="0"/>
            </w:tcBorders>
            <w:noWrap/>
            <w:vAlign w:val="center"/>
          </w:tcPr>
          <w:p>
            <w:pPr>
              <w:keepNext/>
              <w:keepLines/>
              <w:widowControl/>
              <w:spacing w:before="340" w:after="330" w:line="578" w:lineRule="auto"/>
              <w:jc w:val="left"/>
              <w:rPr>
                <w:rFonts w:ascii="黑体" w:hAnsi="黑体" w:eastAsia="黑体" w:cs="宋体"/>
                <w:b/>
                <w:bCs/>
                <w:color w:val="000000"/>
                <w:kern w:val="0"/>
                <w:sz w:val="24"/>
              </w:rPr>
            </w:pPr>
          </w:p>
        </w:tc>
        <w:tc>
          <w:tcPr>
            <w:tcW w:w="2174" w:type="dxa"/>
            <w:vMerge w:val="continue"/>
            <w:tcBorders>
              <w:top w:val="single" w:color="auto" w:sz="4" w:space="0"/>
              <w:left w:val="single" w:color="auto" w:sz="4" w:space="0"/>
              <w:bottom w:val="single" w:color="auto" w:sz="4" w:space="0"/>
              <w:right w:val="single" w:color="auto" w:sz="4" w:space="0"/>
            </w:tcBorders>
            <w:noWrap/>
            <w:vAlign w:val="center"/>
          </w:tcPr>
          <w:p>
            <w:pPr>
              <w:keepNext/>
              <w:keepLines/>
              <w:widowControl/>
              <w:spacing w:before="340" w:after="330" w:line="578" w:lineRule="auto"/>
              <w:jc w:val="left"/>
              <w:rPr>
                <w:rFonts w:ascii="黑体" w:hAnsi="黑体" w:eastAsia="黑体" w:cs="宋体"/>
                <w:b/>
                <w:bCs/>
                <w:color w:val="000000"/>
                <w:kern w:val="0"/>
                <w:sz w:val="24"/>
              </w:rPr>
            </w:pPr>
          </w:p>
        </w:tc>
      </w:tr>
      <w:tr>
        <w:tblPrEx>
          <w:tblCellMar>
            <w:top w:w="0" w:type="dxa"/>
            <w:left w:w="108" w:type="dxa"/>
            <w:bottom w:w="0" w:type="dxa"/>
            <w:right w:w="108" w:type="dxa"/>
          </w:tblCellMar>
        </w:tblPrEx>
        <w:trPr>
          <w:trHeight w:val="2108"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330609014</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013306090010000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种植体植入费（单颗）</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实现口腔单颗种植体植入。价格构成涵盖方案设计、术前准备，备洞，种植体植入，二期手术，术后处理，手术复查等步骤人力资源和基本物资消耗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种植体系统、基台</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1448.00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1629.00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xml:space="preserve">1810.00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种植体即刻种植加收，颅颌面种植体植入加收。未植入种植体按实际发生的通科项目计价收费。</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330609014/1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013306090010001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种植体植入费（单颗）-种植体即刻种植（加收）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1737.60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1954.80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2172.00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330609014/2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013306090010002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种植体植入费（单颗）-颅颌面种植体植入（加收）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4"/>
              </w:rPr>
            </w:pPr>
            <w:r>
              <w:rPr>
                <w:rFonts w:hint="eastAsia" w:ascii="宋体" w:hAnsi="宋体" w:cs="宋体"/>
                <w:color w:val="000000"/>
                <w:kern w:val="0"/>
                <w:sz w:val="24"/>
              </w:rPr>
              <w:t xml:space="preserve">2172.00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2443.50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2715.00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加收50%。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2341"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对范围超过一个象限以上的连续牙齿缺失进行种植体的植入以实现桥式修复。价格构成涵盖方案设计、术前准备，备洞，种植体植入，二期手术，术后处理，手术复查等步骤人力资源和基本物资消耗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种植体系统、基台</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上下颌分别进行桥式修复的，分别计价。种植体即刻种植加收，颅颌面种植体植入加收，种植体倾斜植入加收。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种植体植入费（全牙弓）-种植体即刻种植（加收）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种植体植入费（全牙弓）-颅颌面种植体植入（加收）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330609015/3</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013306090020003</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种植体植入费（全牙弓）-种植体倾斜植入（加收）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2578"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310523008</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013105170010000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种植牙冠修复置入费（单颗）</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实现种植体上部固定义齿的修复置入。价格构成涵盖方案设计、印模制取、颌位确定、位置转移、模型制作、试排牙、戴入、调改、宣教等人力资源和基本物资消耗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768.00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864.00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960.00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即刻修复置入加收，临时冠修复置入减收。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310523008/1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013105170010001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种植牙冠修复置入费（单颗）-即刻修复置入（加收）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921.60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1036.80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1152.00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310523008/2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013105170010002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种植牙冠修复置入（单颗）-临时冠修复置入（减收）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384.00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432.00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480.00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减收50%。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此价格已在主项目价格基础上减收，不得再收取主项目。</w:t>
            </w:r>
          </w:p>
        </w:tc>
      </w:tr>
      <w:tr>
        <w:tblPrEx>
          <w:tblCellMar>
            <w:top w:w="0" w:type="dxa"/>
            <w:left w:w="108" w:type="dxa"/>
            <w:bottom w:w="0" w:type="dxa"/>
            <w:right w:w="108" w:type="dxa"/>
          </w:tblCellMar>
        </w:tblPrEx>
        <w:trPr>
          <w:trHeight w:val="2859"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310523009</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013105170020000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种植牙冠修复置入费（连续冠桥修复）</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实现种植体上部不超过一个象限的连续固定义齿的修复置入。价格构成涵盖方案设计、印模制取、颌位确定、位置转移、模型制作、试排牙、戴入、调改、宣教等人力资源和基本物资消耗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1024.00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1152.00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1280.00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即刻修复置入加收，临时冠修复置入减收。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836"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310523009/1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013105170020001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种植牙冠修复置入费（连续冠桥修复）-即刻修复置入（加收）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1228.80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1382.40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1536.00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1976"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310523009/2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013105170020002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种植牙冠修复置入（连续冠桥修复）-临时冠修复置入（减收）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512.00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576.00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减收50%。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此价格已在主项目价格基础上减收，不得再收取主项目。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310523010</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013105170030000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种植牙冠修复置入费（固定咬合重建）</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310523010/1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013105170030001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种植牙冠修复置入费（固定咬合重建）-即刻修复置入（加收）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013105230010000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种植可摘修复置入费</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实现种植体上部可摘修复体的置入。价格构成涵盖方案设计、印模制取、颌位确定、位置转移、试排牙、模型制作、戴入、调改、宣教等人力资源和基本物资消耗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种植体替代体、基台、转移杆、义齿</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即刻修复置入加收。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439"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310523011/1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013105230010001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种植可摘修复置入费-即刻修复置入（加收）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市场调节价</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此价格应在主项目价格基础上加收，不得再收取主项目。</w:t>
            </w:r>
          </w:p>
        </w:tc>
      </w:tr>
      <w:tr>
        <w:tblPrEx>
          <w:tblCellMar>
            <w:top w:w="0" w:type="dxa"/>
            <w:left w:w="108" w:type="dxa"/>
            <w:bottom w:w="0" w:type="dxa"/>
            <w:right w:w="108" w:type="dxa"/>
          </w:tblCellMar>
        </w:tblPrEx>
        <w:trPr>
          <w:trHeight w:val="2661"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330609016</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013306090030000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口腔内植骨费（简单）</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通过手术方式，对轻度牙槽嵴萎缩骨量增加，达到可种植条件。价格构成涵盖方案设计、术前准备、手术入路，组织切开，植骨，关闭缝合受植区等手术步骤及术后复查处置等人力资源和基本物资消耗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骨粉、骨膜、螺钉、胶原基骨修复材料、固定材料、人工材料模型、模板，CGF,PRF等因子作为充填物</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810.00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900.00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2735"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330609017</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013306090040000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口腔内植骨费（一般）</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通过手术方式，对中度牙槽嵴萎缩骨量增加，达到可种植条件。价格构成涵盖方案设计、术前准备、手术入路，组织切开，骨劈开/骨挤压，植骨，关闭缝合受植区等手术步骤及术后复查处置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骨粉、骨膜、螺钉、胶原基骨修复材料、固定材料、人工材料模型、模板，CGF,PRF等因子作为充填物</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1280.00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1440.00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1600.00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330609018</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013306090050000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口腔内植骨费（复杂）</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通过手术方式，对重度牙槽嵴萎缩或上颌窦底骨量增加，达到可种植条件。价格构成涵盖方案设计、术前准备、手术入路，组织切开，自体骨移植、植骨，关闭缝合受植区等手术步骤及术后复查处置等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骨粉、骨膜、螺钉、胶原基骨修复材料、固定材料、人工材料模型、模板，CGF,PRF等因子作为充填物</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1920.00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2160.00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2400.00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上颌窦囊肿摘除加收，口腔以外其他部位取骨加收。</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330609018/1</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013306090050001</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口腔内植骨费（复杂）-上颌窦囊肿摘除（加收）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4"/>
              </w:rPr>
            </w:pPr>
            <w:r>
              <w:rPr>
                <w:rFonts w:hint="eastAsia" w:ascii="宋体" w:hAnsi="宋体" w:cs="宋体"/>
                <w:color w:val="000000"/>
                <w:kern w:val="0"/>
                <w:sz w:val="24"/>
              </w:rPr>
              <w:t xml:space="preserve">2304.00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2592.00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2880.00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加收20%。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160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330609018/2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013306090050002</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口腔内植骨费（复杂）-口腔以外其他部位取骨（加收）</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2880.00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3240.00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3600.00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加收50%。</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此价格已在主项目价格基础上加收，不得再收取主项目。</w:t>
            </w:r>
          </w:p>
        </w:tc>
      </w:tr>
      <w:tr>
        <w:tblPrEx>
          <w:tblCellMar>
            <w:top w:w="0" w:type="dxa"/>
            <w:left w:w="108" w:type="dxa"/>
            <w:bottom w:w="0" w:type="dxa"/>
            <w:right w:w="108" w:type="dxa"/>
          </w:tblCellMar>
        </w:tblPrEx>
        <w:trPr>
          <w:trHeight w:val="2375"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330609019</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013306090060000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种植体周软组织移植费</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通过局部软组织移植，改善治疗部位及周围软组织状况，达到治疗所需软组织条件。价格构成涵盖方案设计、术前准备、切开、翻瓣、供软组织制备、组织固定、缝合及处置等手术步骤人力资源和基本物资消耗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骨粉、骨膜、胶原基骨修复材料</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800.00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184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G</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330609020</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013306090070000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种植体取出费</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拆除患者口腔内已植入且无法继续使用的种植体。价格构成涵盖种植体拆除操作步骤的人力资源和基本基本物资消耗</w:t>
            </w:r>
          </w:p>
        </w:tc>
        <w:tc>
          <w:tcPr>
            <w:tcW w:w="20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400.00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450.00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500.00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2407"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310523012</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013105190010000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种植牙冠修理费</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对产品保质保修条件外，种植牙冠脱落、崩瓷、嵌食、断裂等机械性或器质性损坏进行修理，恢复正常使用。价格构成涵盖种植修复置入体的检查、拆卸、修补、置入等人力资源和基本物资消耗</w:t>
            </w:r>
          </w:p>
        </w:tc>
        <w:tc>
          <w:tcPr>
            <w:tcW w:w="206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牙位</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640.00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720.00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800.00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3429"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310523013</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013105170040000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医学3D建模（口腔）</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利用医学影像检查等手段获得患者特定部位的真实信息。通过数字技术构建的虚拟3D模型、真实再现口腔及颌面特定部位的形态，能够满足疾病诊断、手术规划、治疗及导板设计的需要。价格构成涵盖数字化扫描、建模、存储、传输，装置设计等步骤的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例</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196.00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220.50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245.00 </w:t>
            </w:r>
          </w:p>
        </w:tc>
        <w:tc>
          <w:tcPr>
            <w:tcW w:w="219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2272"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310523014</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013105230020000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医学3D模型打印（口腔）</w:t>
            </w:r>
          </w:p>
        </w:tc>
        <w:tc>
          <w:tcPr>
            <w:tcW w:w="354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将虚拟3D模型打印或切削制作成仅用于口腔疾病诊断、手术规划、治疗及导板设计的实体模型。价格构成涵盖3D打印或切削制作的人力资源和基本物资消耗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360.00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405.00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450.00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单颗常规种植确需应用时，按10%收取</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r>
        <w:tblPrEx>
          <w:tblCellMar>
            <w:top w:w="0" w:type="dxa"/>
            <w:left w:w="108" w:type="dxa"/>
            <w:bottom w:w="0" w:type="dxa"/>
            <w:right w:w="108" w:type="dxa"/>
          </w:tblCellMar>
        </w:tblPrEx>
        <w:trPr>
          <w:trHeight w:val="2234" w:hRule="atLeast"/>
        </w:trPr>
        <w:tc>
          <w:tcPr>
            <w:tcW w:w="54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75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E</w:t>
            </w:r>
          </w:p>
        </w:tc>
        <w:tc>
          <w:tcPr>
            <w:tcW w:w="153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310523015</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013105230030000</w:t>
            </w:r>
          </w:p>
        </w:tc>
        <w:tc>
          <w:tcPr>
            <w:tcW w:w="28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医学3D导板打印（口腔）</w:t>
            </w:r>
          </w:p>
        </w:tc>
        <w:tc>
          <w:tcPr>
            <w:tcW w:w="3544" w:type="dxa"/>
            <w:tcBorders>
              <w:top w:val="nil"/>
              <w:left w:val="nil"/>
              <w:bottom w:val="single" w:color="auto" w:sz="4" w:space="0"/>
              <w:right w:val="single" w:color="auto" w:sz="4" w:space="0"/>
            </w:tcBorders>
            <w:noWrap/>
            <w:vAlign w:val="center"/>
          </w:tcPr>
          <w:p>
            <w:pPr>
              <w:widowControl/>
              <w:spacing w:line="260" w:lineRule="exact"/>
              <w:rPr>
                <w:rFonts w:ascii="宋体" w:hAnsi="宋体" w:cs="宋体"/>
                <w:color w:val="000000"/>
                <w:kern w:val="0"/>
                <w:sz w:val="24"/>
              </w:rPr>
            </w:pPr>
            <w:r>
              <w:rPr>
                <w:rFonts w:hint="eastAsia" w:ascii="宋体" w:hAnsi="宋体" w:cs="宋体"/>
                <w:color w:val="000000"/>
                <w:kern w:val="0"/>
                <w:sz w:val="24"/>
              </w:rPr>
              <w:t>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20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1080.00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1215.00 </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1350.00 </w:t>
            </w:r>
          </w:p>
        </w:tc>
        <w:tc>
          <w:tcPr>
            <w:tcW w:w="2194"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rPr>
            </w:pPr>
            <w:r>
              <w:rPr>
                <w:rFonts w:hint="eastAsia" w:ascii="宋体" w:hAnsi="宋体" w:cs="宋体"/>
                <w:color w:val="000000"/>
                <w:kern w:val="0"/>
                <w:sz w:val="24"/>
              </w:rPr>
              <w:t>单颗常规种植确需应用时，按10%收取</w:t>
            </w:r>
          </w:p>
        </w:tc>
        <w:tc>
          <w:tcPr>
            <w:tcW w:w="217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内涵所指步骤，不得再另外收取医疗服务项目。</w:t>
            </w: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ODU5OTBjYzg0ODBhNGE3ZmI4OWFmM2JkMzNiMmIifQ=="/>
  </w:docVars>
  <w:rsids>
    <w:rsidRoot w:val="34D34C2E"/>
    <w:rsid w:val="19701B87"/>
    <w:rsid w:val="34D34C2E"/>
    <w:rsid w:val="40D27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416" w:lineRule="auto"/>
    </w:pPr>
    <w:rPr>
      <w:b/>
      <w:bCs/>
      <w:sz w:val="32"/>
      <w:szCs w:val="32"/>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rPr>
      <w:rFonts w:ascii="Times New Roman" w:hAnsi="Times New Roman" w:cs="Times New Roman"/>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4274</Words>
  <Characters>5326</Characters>
  <Lines>0</Lines>
  <Paragraphs>0</Paragraphs>
  <TotalTime>1</TotalTime>
  <ScaleCrop>false</ScaleCrop>
  <LinksUpToDate>false</LinksUpToDate>
  <CharactersWithSpaces>5518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2023-04-14T08:01:00Z</dcterms:created>
  <dc:creator>田泰亨</dc:creator>
  <cp:lastModifiedBy>田泰亨</cp:lastModifiedBy>
  <dcterms:modified xsi:type="dcterms:W3CDTF">2023-04-14T08:05:14Z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2D151746826C4AEE944E7AAE1D567A5A_11</vt:lpwstr>
  </property>
</Properties>
</file>