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6FAA2">
      <w:pPr>
        <w:numPr>
          <w:ilvl w:val="0"/>
          <w:numId w:val="0"/>
        </w:numPr>
        <w:spacing w:line="50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65D69644">
      <w:pPr>
        <w:numPr>
          <w:ilvl w:val="0"/>
          <w:numId w:val="0"/>
        </w:numPr>
        <w:spacing w:line="50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C91B04F">
      <w:pPr>
        <w:spacing w:line="5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广西规范整合中医骨伤及中医特殊疗法类医疗服务价格项目表</w:t>
      </w:r>
    </w:p>
    <w:p w14:paraId="40712B6D">
      <w:pPr>
        <w:numPr>
          <w:ilvl w:val="0"/>
          <w:numId w:val="0"/>
        </w:numPr>
        <w:spacing w:line="50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8E6636A">
      <w:pPr>
        <w:numPr>
          <w:ilvl w:val="0"/>
          <w:numId w:val="0"/>
        </w:numPr>
        <w:spacing w:line="5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广西规范整合中医骨伤类医疗服务项目价格表</w:t>
      </w:r>
    </w:p>
    <w:p w14:paraId="43D7A46F">
      <w:pPr>
        <w:numPr>
          <w:ilvl w:val="0"/>
          <w:numId w:val="0"/>
        </w:numPr>
        <w:spacing w:line="36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7"/>
          <w:sz w:val="24"/>
          <w:szCs w:val="24"/>
          <w:lang w:val="en-US" w:eastAsia="zh-CN" w:bidi="ar"/>
        </w:rPr>
        <w:t>使用说明:</w:t>
      </w:r>
      <w:r>
        <w:rPr>
          <w:rStyle w:val="8"/>
          <w:sz w:val="24"/>
          <w:szCs w:val="24"/>
          <w:lang w:val="en-US" w:eastAsia="zh-CN" w:bidi="ar"/>
        </w:rPr>
        <w:br w:type="textWrapping"/>
      </w:r>
      <w:r>
        <w:rPr>
          <w:rStyle w:val="8"/>
          <w:sz w:val="24"/>
          <w:szCs w:val="24"/>
          <w:lang w:val="en-US" w:eastAsia="zh-CN" w:bidi="ar"/>
        </w:rPr>
        <w:t>1.本指南以中医骨伤为重点，按照中医骨伤治疗方式的服务产出设立价格项目。根据《深化医疗服务价格改革试点方案》（医保发〔2021〕41号）“厘清价格项目与临床诊疗技术规范、医疗机构成本要素、不同应用场景和收费标准等的政策边界。分类整合现行价格项目，实现价格项目与操作步骤、诊疗部位等技术细节脱钩，增强现行价格项目对医疗技术和医疗活动改良创新的兼容性”要求，各类中医骨伤类项目在操作层面存在差异，但在价格项目和定价水平层面具备合并同类项的条件，立项指南对目前常用的中医骨伤类项目进行了合并。地方医保部门制定“中医骨伤类”医疗服务项目价格时，要充分体现技术劳务价值，使收费水平覆盖绝大部分中医骨伤类项目，使整合前后的中医骨伤类项目收费水平大体相当；立项指南所定价格属于政府指导价为最高限价，下浮不限；同时，医疗机构、医务人员实施中医骨伤过程中有关创新改良，采取“现有项目兼容”的方式简化处理，无需申报新增医疗服务价格项目，直接按照对应的整合项目执行即可。地方价格政策与《全国医疗服务价格规范》不一致时，医疗机构收费依据应以当地价格政策为准。</w:t>
      </w:r>
      <w:r>
        <w:rPr>
          <w:rStyle w:val="8"/>
          <w:sz w:val="24"/>
          <w:szCs w:val="24"/>
          <w:lang w:val="en-US" w:eastAsia="zh-CN" w:bidi="ar"/>
        </w:rPr>
        <w:br w:type="textWrapping"/>
      </w:r>
      <w:r>
        <w:rPr>
          <w:rStyle w:val="8"/>
          <w:sz w:val="24"/>
          <w:szCs w:val="24"/>
          <w:lang w:val="en-US" w:eastAsia="zh-CN" w:bidi="ar"/>
        </w:rPr>
        <w:t>2.本指南所称的“价格构成”，指项目价格应涵盖的各类资源消耗，用于确定计价单元的边界，是各级医疗保障部门制定调整项目价格考虑的测算因子，不应作为临床技术标准理解，不是实际操作方式、路径、步骤、程序的强制性要求，价格构成中包含，但个别临床实践中非必要、未发生的，无需强制要求公立医疗机构减计费用。所列“设备投入”包括但不限于操作设备、器具及固定资产投入。</w:t>
      </w:r>
      <w:r>
        <w:rPr>
          <w:rStyle w:val="8"/>
          <w:sz w:val="24"/>
          <w:szCs w:val="24"/>
          <w:lang w:val="en-US" w:eastAsia="zh-CN" w:bidi="ar"/>
        </w:rPr>
        <w:br w:type="textWrapping"/>
      </w:r>
      <w:r>
        <w:rPr>
          <w:rStyle w:val="8"/>
          <w:sz w:val="24"/>
          <w:szCs w:val="24"/>
          <w:lang w:val="en-US" w:eastAsia="zh-CN" w:bidi="ar"/>
        </w:rPr>
        <w:t>3.本指南所称“加收项”，指同一项目以不同方式提供或在不同场景应用时，确有必要制定差异化收费标准而细分的一类子项，包括在原项目价格基础上增加或减少收费的情况，具体的加/减收标准（加/减收率或加/减收金额）由各地依权限制定；实际应用中，同时涉及多个加收项的，以项目单价为基础计算各项的加/减收水平后，求和得出加/减收金额。</w:t>
      </w:r>
      <w:r>
        <w:rPr>
          <w:rStyle w:val="8"/>
          <w:sz w:val="24"/>
          <w:szCs w:val="24"/>
          <w:lang w:val="en-US" w:eastAsia="zh-CN" w:bidi="ar"/>
        </w:rPr>
        <w:br w:type="textWrapping"/>
      </w:r>
      <w:r>
        <w:rPr>
          <w:rStyle w:val="8"/>
          <w:sz w:val="24"/>
          <w:szCs w:val="24"/>
          <w:lang w:val="en-US" w:eastAsia="zh-CN" w:bidi="ar"/>
        </w:rPr>
        <w:t>4.本指南所称“扩展项”，指同一项目下以不同方式提供或在不同场景应用时，只扩展价格项目适用范围、不额外加价的一类子项，子项的价格按主项目执行。</w:t>
      </w:r>
      <w:r>
        <w:rPr>
          <w:rStyle w:val="8"/>
          <w:sz w:val="24"/>
          <w:szCs w:val="24"/>
          <w:lang w:val="en-US" w:eastAsia="zh-CN" w:bidi="ar"/>
        </w:rPr>
        <w:br w:type="textWrapping"/>
      </w:r>
      <w:r>
        <w:rPr>
          <w:rStyle w:val="8"/>
          <w:sz w:val="24"/>
          <w:szCs w:val="24"/>
          <w:lang w:val="en-US" w:eastAsia="zh-CN" w:bidi="ar"/>
        </w:rPr>
        <w:t>5.本指南所称“基本物耗”指原则上限于不应或不必要与医疗服务项目分割的易耗品，包括但不限于各类消杀灭菌用品、标签、储存用品、清洁用品、个人防护用品、垃圾处理用品、冲洗液、润滑剂、棉球、棉签、纱布（垫）、护（尿）垫、手术巾（单）、治疗巾（单）、中单、治疗护理盘(包）、手术包、注射器、防渗漏垫、悬吊巾、压垫、棉垫、可复用的操作器具、各种针具刀具等。基本物耗成本计入项目价格，不另行收费。除基本物耗以外的其他耗材，按照实际采购价格零差率另行收费。</w:t>
      </w:r>
      <w:r>
        <w:rPr>
          <w:rStyle w:val="8"/>
          <w:sz w:val="24"/>
          <w:szCs w:val="24"/>
          <w:lang w:val="en-US" w:eastAsia="zh-CN" w:bidi="ar"/>
        </w:rPr>
        <w:br w:type="textWrapping"/>
      </w:r>
      <w:r>
        <w:rPr>
          <w:rStyle w:val="8"/>
          <w:sz w:val="24"/>
          <w:szCs w:val="24"/>
          <w:lang w:val="en-US" w:eastAsia="zh-CN" w:bidi="ar"/>
        </w:rPr>
        <w:t>6.本指南所称的“每关节”是指，单个大关节（肩、肘、腕、髋、膝、踝）、颈椎、胸椎、腰椎、单侧手掌部关节、单侧足部关节、单侧颞颌关节、单侧肩锁关节、胸锁关节。</w:t>
      </w:r>
      <w:r>
        <w:rPr>
          <w:rStyle w:val="8"/>
          <w:sz w:val="24"/>
          <w:szCs w:val="24"/>
          <w:lang w:val="en-US" w:eastAsia="zh-CN" w:bidi="ar"/>
        </w:rPr>
        <w:br w:type="textWrapping"/>
      </w:r>
      <w:r>
        <w:rPr>
          <w:rStyle w:val="8"/>
          <w:sz w:val="24"/>
          <w:szCs w:val="24"/>
          <w:lang w:val="en-US" w:eastAsia="zh-CN" w:bidi="ar"/>
        </w:rPr>
        <w:t>7.本指南所称的“儿童”是指6岁及以下未成年人。</w:t>
      </w:r>
      <w:r>
        <w:rPr>
          <w:rStyle w:val="8"/>
          <w:sz w:val="24"/>
          <w:szCs w:val="24"/>
          <w:lang w:val="en-US" w:eastAsia="zh-CN" w:bidi="ar"/>
        </w:rPr>
        <w:br w:type="textWrapping"/>
      </w:r>
      <w:r>
        <w:rPr>
          <w:rStyle w:val="8"/>
          <w:sz w:val="24"/>
          <w:szCs w:val="24"/>
          <w:lang w:val="en-US" w:eastAsia="zh-CN" w:bidi="ar"/>
        </w:rPr>
        <w:t>8.本指南中涉及“包括……”“……等”的，属于开放型表述，所指对象不仅局限于表述中列明的事项，也包括未列明的同类事项。</w:t>
      </w:r>
    </w:p>
    <w:p w14:paraId="5A9F7001">
      <w:pPr>
        <w:numPr>
          <w:ilvl w:val="0"/>
          <w:numId w:val="0"/>
        </w:numPr>
        <w:spacing w:line="50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5"/>
        <w:tblW w:w="216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36"/>
        <w:gridCol w:w="2022"/>
        <w:gridCol w:w="1942"/>
        <w:gridCol w:w="2286"/>
        <w:gridCol w:w="3740"/>
        <w:gridCol w:w="1461"/>
        <w:gridCol w:w="1464"/>
        <w:gridCol w:w="1353"/>
        <w:gridCol w:w="1701"/>
        <w:gridCol w:w="1033"/>
        <w:gridCol w:w="1057"/>
        <w:gridCol w:w="984"/>
        <w:gridCol w:w="856"/>
      </w:tblGrid>
      <w:tr w14:paraId="701C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B8E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FE6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3EE760D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2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72F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国家编码</w:t>
            </w: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91E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AE9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3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F29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A24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加收项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972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扩展项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C3E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124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ED1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690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医保支付类别</w:t>
            </w:r>
          </w:p>
        </w:tc>
      </w:tr>
      <w:tr w14:paraId="3FEB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8BE1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3A89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7615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A430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E69D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828A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CB77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210A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EF44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3F1E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91C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CEC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7FC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D090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F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89A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9A74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41F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014300000010000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F987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手法整复术（关节脱位）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0F1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通过手法（或辅助器械）使脱位或紊乱关节复位。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1236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所定价格涵盖摆位、整复、包扎、必要时固定等步骤，以及必要时使用辅助器械所需的人力资源和基本物质资源消耗。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C13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D16A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AF8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8807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3DD3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872A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69C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261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0E43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5B31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ED88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0F2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014300000010001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FAE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手法整复术（关节脱位）-儿童（加收）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D2C5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1B9C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3361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718B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69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FBD0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09A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60C5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D53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F74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07CB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8CB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306A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464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014300000020000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2DC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手法整复术（复杂关节脱位）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07B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通过手法（或辅助器械）使脱位复杂关节复位。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91F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所定价格涵盖摆位、整复、包扎、必要时固定等步骤，以及必要时使用辅助器械所需的人力资源和基本物质资源消耗。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930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4A11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F34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691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“复杂关节脱位”指寰枢椎、髋关节、骨盆等关节脱位以及陈旧性脱位。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199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249.60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597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65E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BF4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66C5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0AAF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8EFD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5D3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014300000020001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B92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手法整复术（复杂关节脱位）-儿童（加收）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3220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C1E1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989A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999C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651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5E2A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C0F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301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C22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F0A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680C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881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9C25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D98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014300000030000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ED0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手法整复术（骨伤）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CB3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通过正骨手法（或辅助器械）使骨折或韧带损伤复位。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A82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所定价格涵盖摆位、整复、包扎、必要时固定等步骤，以及必要时使用辅助器械所需的人力资源和基本物质资源消耗。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895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A278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D47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C555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208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144.30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CBE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FFD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FBB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5397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78FE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590C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F92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014300000030001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92B5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手法整复术（骨伤）-儿童（加收）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C63D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F67E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DEDC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DEDF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52A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83BE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DA9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C9A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94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D3C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6EDF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5EC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D2CD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8F4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014300000040000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76B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手法整复术（复杂骨伤）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A42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通过正骨手法（或辅助器械）使复杂骨折或韧带损伤复位。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758C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所定价格涵盖摆位、整复、包扎、必要时固定等步骤，以及必要时使用辅助器械所需的人力资源和基本物质资源消耗。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3AE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1335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503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39B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“复杂骨伤”指脊柱、骨盆、关节内等骨折以及陈旧性、粉碎性骨折。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5B7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288.00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B81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F30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360.00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D5D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5B83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6C73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A3F6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8E5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014300000040001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550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手法整复术（复杂骨伤）-儿童（加收）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8531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7887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8428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0033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09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8D1A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D16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C82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56E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2C8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2186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4CA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4DD2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4D5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014300000050000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0B1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小夹板固定术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FB23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通过小夹板等各种外固定方式对骨折部位进行包扎固定。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C0C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所定价格涵盖摆位、固定等步骤所需的人力资源和基本物质资源消耗。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25C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048C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767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6F28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77C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2A3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117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9B0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2D09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38E1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CE93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16D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014300000050001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0C1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小夹板固定术-儿童（加收）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23CB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606D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6169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29C4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2FD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2720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CD7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18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7C6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D0E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10E8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A5D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049E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619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014300000060000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C43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小夹板调整术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3E71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根据患者复诊情况对小夹板等外固定装置进行调整。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A733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所定价格涵盖观察、调整等步骤所需的人力资源和基本物质资源消耗。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AA0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F5B9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1FC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2316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D0B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EBB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7FA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3A6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66BC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D4C5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302B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081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014300000060001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B0A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小夹板调整术-儿童（加收）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CCBB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2C90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8A57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7411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65F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1C27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441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FC3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15D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01F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2598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219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3F5D">
            <w:pPr>
              <w:spacing w:line="360" w:lineRule="exact"/>
              <w:rPr>
                <w:rFonts w:hint="default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手术费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A45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014300000070000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F7E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中医复位内固定术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815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使用各种针具、钉具，以内固定方式复位固定骨折部位。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1DB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所定价格涵盖摆位、消毒、进针、牵拉复位、撬拨、包扎固定等步骤所需的人力资源和基本物质资源消耗。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1CF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CC88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D3E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879F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823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333.20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FF2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7D3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416.50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449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6628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2272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8DBD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手术费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F93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014300000070001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050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中医复位内固定术-儿童（加收）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2C34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0782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BF99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FC7A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3BE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48EA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25A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88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29B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686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0C66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D68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6077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B13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014300000080000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EB6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手法松解术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A40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通过理筋、松筋、弹拨等手法疏通经络、松解粘连、滑利关节。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E87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所定价格涵盖摆位、手法疏通等步骤，以及必要时使用辅助器械所需的人力资源和基本物质资源消耗。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013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A2B9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78C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B14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不与同部位中医推拿同时收费。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015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BF9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F63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738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4329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DE24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AB8C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671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014300000080001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8B4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手法松解术-儿童（加收）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4E34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0B3CA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A7A3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4FE0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C2B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B51D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BBC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04E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984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306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33BE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FC8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3BAF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A3A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014300000090000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B74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手法挤压术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117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通过抚触挤压腱鞘囊肿，使囊肿破裂。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E92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所定价格涵盖定位、抚触、挤压等步骤所需的人力资源和基本物质资源消耗。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67E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0080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A89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FEB4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942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276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655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1D9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15EE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01E1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CAA0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AC1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014300000090001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E91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手法挤压术-儿童（加收）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3631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59A7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B8BE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D819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F9D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A3A2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D59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2A4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6E2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1C2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</w:tbl>
    <w:p w14:paraId="277511B5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41C13065">
      <w:pPr>
        <w:pStyle w:val="2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34881B5F">
      <w:pP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4FE45237">
      <w:pPr>
        <w:pStyle w:val="2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2E2FAB6C">
      <w:pP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281BCE3F">
      <w:pPr>
        <w:pStyle w:val="2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4A4B7022">
      <w:pP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56BE4BE3">
      <w:pPr>
        <w:pStyle w:val="2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3FA28E08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广西规范整合中医特殊疗法类医疗服务项目价格表</w:t>
      </w:r>
    </w:p>
    <w:p w14:paraId="39B5FE74">
      <w:pPr>
        <w:pStyle w:val="2"/>
        <w:spacing w:before="0" w:after="0" w:line="360" w:lineRule="exact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526054C">
      <w:pPr>
        <w:pStyle w:val="2"/>
        <w:spacing w:before="0" w:after="0" w:line="360" w:lineRule="exact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使用说明:</w:t>
      </w:r>
    </w:p>
    <w:p w14:paraId="1059F1AC">
      <w:pPr>
        <w:pStyle w:val="2"/>
        <w:spacing w:before="0" w:after="0" w:line="360" w:lineRule="exact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本指南以中医特殊疗法为重点，按照中医特殊疗法治疗方式的服务产出设立价格项目。根据《深化医疗服务价格改革试点方案》（医保发〔2021〕41号）“厘清价格项目与临床诊疗技术规范、医疗机构成本要素、不同应用场景和收费标准等的政策边界。分类整合现行价格项目，实现价格项目与操作步骤、诊疗部位等技术细节脱钩，增强现行价格项目对医疗技术和医疗活动改良创新的兼容性”要求，各类中医特殊疗法类项目在操作层面存在差异，但在价格项目和定价水平层面具备合并同类项的条件，立项指南对目前常用的中医特殊疗法类项目进行了合并。地方医保部门制定“中医特殊疗法类”医疗服务项目价格时，要充分体现技术劳务价值，使收费水平覆盖绝大部分中医特殊疗法类项目，使整合前后的中医特殊疗法类项目收费水平大体相当；立项指南所定价格属于政府指导价为最高限价，下浮不限；同时，医疗机构、医务人员实施中医特殊疗法过程中有关创新改良，采取“现有项目兼容”的方式简化处理，无需申报新增医疗服务价格项目，直接按照对应的整合项目执行即可。地方价格政策与《全国医疗服务价格规范》不一致时，医疗机构收费依据应以当地价格政策为准。</w:t>
      </w:r>
    </w:p>
    <w:p w14:paraId="5D04FD41">
      <w:pPr>
        <w:pStyle w:val="2"/>
        <w:spacing w:before="0" w:after="0" w:line="360" w:lineRule="exact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本指南所称的“价格构成”，指项目价格应涵盖的各类资源消耗，用于确定计价单元的边界，是各级医疗保障部门制定调整项目价格考虑的测算因子，不应作为临床技术标准理解，不是实际操作方式、路径、步骤、程序的强制性要求，价格构成中包含，但个别临床实践中非必要、未发生的，无需强制要求公立医疗机构减计费用。所列“设备投入”包括但不限于操作设备、器具及固定资产投入。</w:t>
      </w:r>
    </w:p>
    <w:p w14:paraId="34D51907">
      <w:pPr>
        <w:pStyle w:val="2"/>
        <w:spacing w:before="0" w:after="0" w:line="360" w:lineRule="exact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.本指南所称“加收项”，指同一项目以不同方式提供或在不同场景应用时，确有必要制定差异化收费标准而细分的一类子项，包括在原项目价格基础上增加或减少收费的情况，具体的加/减收标准（加/减收率或加/减收金额）由各地依权限制定；实际应用中，同时涉及多个加收项的，以项目单价为基础计算各项的加/减收水平后，求和得出加/减收金额。</w:t>
      </w:r>
    </w:p>
    <w:p w14:paraId="03F74593">
      <w:pPr>
        <w:pStyle w:val="2"/>
        <w:spacing w:before="0" w:after="0" w:line="360" w:lineRule="exact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4.本指南所称“扩展项”，指同一项目下以不同方式提供或在不同场景应用时，只扩展价格项目适用范围、不额外加价的一类子项，子项的价格按主项目执行。</w:t>
      </w:r>
    </w:p>
    <w:p w14:paraId="1547EE57">
      <w:pPr>
        <w:pStyle w:val="2"/>
        <w:spacing w:before="0" w:after="0" w:line="360" w:lineRule="exact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5.本指南所称“基本物耗”指原则上限于不应或不必要与医疗服务项目分割的易耗品，包括但不限于各类消杀灭菌用品、标签、储存用品、清洁用品、个人防护用品、垃圾处理用品、冲洗液、润滑剂、棉球、棉签、纱布（垫）、护（尿）垫、手术巾（单）、治疗巾（单）、中单、治疗护理盘(包）、手术包、注射器、防渗漏垫、悬吊巾、压垫、棉垫、可复用的操作器具、各种针具刀具等。基本物耗成本计入项目价格，不另行收费。除基本物耗以外的其他耗材，按照实际采购价格零差率另行收费。</w:t>
      </w:r>
    </w:p>
    <w:p w14:paraId="7BD2BEBD">
      <w:pPr>
        <w:pStyle w:val="2"/>
        <w:spacing w:before="0" w:after="0" w:line="360" w:lineRule="exact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6.本指南所称的“儿童”是指6岁及以下未成年人。</w:t>
      </w:r>
    </w:p>
    <w:p w14:paraId="1B37BBF0">
      <w:pPr>
        <w:pStyle w:val="2"/>
        <w:spacing w:before="0" w:after="0" w:line="360" w:lineRule="exact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7.本指南中涉及“包括……”“……等”的，属于开放型表述，所指对象不仅局限于表述中列明的事项，也包括未列明的同类事项。</w:t>
      </w:r>
    </w:p>
    <w:tbl>
      <w:tblPr>
        <w:tblStyle w:val="5"/>
        <w:tblW w:w="21883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36"/>
        <w:gridCol w:w="2016"/>
        <w:gridCol w:w="1896"/>
        <w:gridCol w:w="2635"/>
        <w:gridCol w:w="2724"/>
        <w:gridCol w:w="1658"/>
        <w:gridCol w:w="1605"/>
        <w:gridCol w:w="836"/>
        <w:gridCol w:w="2660"/>
        <w:gridCol w:w="1086"/>
        <w:gridCol w:w="1137"/>
        <w:gridCol w:w="1137"/>
        <w:gridCol w:w="792"/>
      </w:tblGrid>
      <w:tr w14:paraId="0B6B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765" w:type="dxa"/>
            <w:vMerge w:val="restart"/>
            <w:noWrap w:val="0"/>
            <w:vAlign w:val="center"/>
          </w:tcPr>
          <w:p w14:paraId="69AAE93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 w14:paraId="006B87F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1DEF6D6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2016" w:type="dxa"/>
            <w:vMerge w:val="restart"/>
            <w:noWrap w:val="0"/>
            <w:vAlign w:val="center"/>
          </w:tcPr>
          <w:p w14:paraId="3FB8661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国家编码</w:t>
            </w:r>
          </w:p>
        </w:tc>
        <w:tc>
          <w:tcPr>
            <w:tcW w:w="1896" w:type="dxa"/>
            <w:vMerge w:val="restart"/>
            <w:noWrap w:val="0"/>
            <w:vAlign w:val="center"/>
          </w:tcPr>
          <w:p w14:paraId="7070FC6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35" w:type="dxa"/>
            <w:vMerge w:val="restart"/>
            <w:noWrap w:val="0"/>
            <w:vAlign w:val="center"/>
          </w:tcPr>
          <w:p w14:paraId="12072CA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1C501ED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6788179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加收项</w:t>
            </w:r>
          </w:p>
        </w:tc>
        <w:tc>
          <w:tcPr>
            <w:tcW w:w="1605" w:type="dxa"/>
            <w:vMerge w:val="restart"/>
            <w:noWrap w:val="0"/>
            <w:vAlign w:val="center"/>
          </w:tcPr>
          <w:p w14:paraId="1CAA0CC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扩展项</w:t>
            </w:r>
          </w:p>
        </w:tc>
        <w:tc>
          <w:tcPr>
            <w:tcW w:w="836" w:type="dxa"/>
            <w:vMerge w:val="restart"/>
            <w:noWrap w:val="0"/>
            <w:vAlign w:val="center"/>
          </w:tcPr>
          <w:p w14:paraId="3F3AF90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660" w:type="dxa"/>
            <w:vMerge w:val="restart"/>
            <w:noWrap w:val="0"/>
            <w:vAlign w:val="center"/>
          </w:tcPr>
          <w:p w14:paraId="684DF67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1CF5E2F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 w14:paraId="4ACE27E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医保支付类别</w:t>
            </w:r>
          </w:p>
        </w:tc>
      </w:tr>
      <w:tr w14:paraId="339B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Header/>
        </w:trPr>
        <w:tc>
          <w:tcPr>
            <w:tcW w:w="765" w:type="dxa"/>
            <w:vMerge w:val="continue"/>
            <w:noWrap w:val="0"/>
            <w:vAlign w:val="center"/>
          </w:tcPr>
          <w:p w14:paraId="2A4EC774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6DB33ACB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4E83EA43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5BA96873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5" w:type="dxa"/>
            <w:vMerge w:val="continue"/>
            <w:noWrap w:val="0"/>
            <w:vAlign w:val="center"/>
          </w:tcPr>
          <w:p w14:paraId="6CC47EE0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2ECB68C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13B47E34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 w14:paraId="50B3977C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vMerge w:val="continue"/>
            <w:noWrap w:val="0"/>
            <w:vAlign w:val="center"/>
          </w:tcPr>
          <w:p w14:paraId="46D5A2C8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0" w:type="dxa"/>
            <w:vMerge w:val="continue"/>
            <w:noWrap w:val="0"/>
            <w:vAlign w:val="center"/>
          </w:tcPr>
          <w:p w14:paraId="67BC3BCD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C0B623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137" w:type="dxa"/>
            <w:noWrap w:val="0"/>
            <w:vAlign w:val="center"/>
          </w:tcPr>
          <w:p w14:paraId="6CA84B6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137" w:type="dxa"/>
            <w:noWrap w:val="0"/>
            <w:vAlign w:val="center"/>
          </w:tcPr>
          <w:p w14:paraId="72F1BF6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792" w:type="dxa"/>
            <w:vMerge w:val="continue"/>
            <w:noWrap w:val="0"/>
            <w:vAlign w:val="center"/>
          </w:tcPr>
          <w:p w14:paraId="468236A5">
            <w:pPr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7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765" w:type="dxa"/>
            <w:vMerge w:val="restart"/>
            <w:noWrap w:val="0"/>
            <w:vAlign w:val="center"/>
          </w:tcPr>
          <w:p w14:paraId="60B8BB3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 w14:paraId="5B1A1391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16" w:type="dxa"/>
            <w:noWrap w:val="0"/>
            <w:vAlign w:val="center"/>
          </w:tcPr>
          <w:p w14:paraId="050BC19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014600000010000</w:t>
            </w:r>
          </w:p>
        </w:tc>
        <w:tc>
          <w:tcPr>
            <w:tcW w:w="1896" w:type="dxa"/>
            <w:noWrap w:val="0"/>
            <w:vAlign w:val="center"/>
          </w:tcPr>
          <w:p w14:paraId="7E6A482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针刀（钩活）疗法</w:t>
            </w:r>
          </w:p>
        </w:tc>
        <w:tc>
          <w:tcPr>
            <w:tcW w:w="2635" w:type="dxa"/>
            <w:noWrap w:val="0"/>
            <w:vAlign w:val="center"/>
          </w:tcPr>
          <w:p w14:paraId="1463DBF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使用针刀、铍针、刃针等各种针刀具，对病变组织松解剥离，起到缓解症状或治疗疾病的作用。</w:t>
            </w:r>
          </w:p>
        </w:tc>
        <w:tc>
          <w:tcPr>
            <w:tcW w:w="2724" w:type="dxa"/>
            <w:noWrap w:val="0"/>
            <w:vAlign w:val="center"/>
          </w:tcPr>
          <w:p w14:paraId="054510DC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所定价格涵盖定位、穿刺、剥离、包扎等人力资源和基本物质资源消耗。</w:t>
            </w:r>
          </w:p>
        </w:tc>
        <w:tc>
          <w:tcPr>
            <w:tcW w:w="1658" w:type="dxa"/>
            <w:noWrap w:val="0"/>
            <w:vAlign w:val="center"/>
          </w:tcPr>
          <w:p w14:paraId="0541AF1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01脊柱针刀疗法加收</w:t>
            </w:r>
          </w:p>
        </w:tc>
        <w:tc>
          <w:tcPr>
            <w:tcW w:w="1605" w:type="dxa"/>
            <w:noWrap w:val="0"/>
            <w:vAlign w:val="center"/>
          </w:tcPr>
          <w:p w14:paraId="731D813D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noWrap w:val="0"/>
            <w:vAlign w:val="center"/>
          </w:tcPr>
          <w:p w14:paraId="11669B9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2660" w:type="dxa"/>
            <w:noWrap w:val="0"/>
            <w:vAlign w:val="center"/>
          </w:tcPr>
          <w:p w14:paraId="46E4D03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1.头部、颈部、胸部、腰部、腹部、臀部、单侧手部、单侧足部、四肢单个大关节（肩关节、腕关节、肘关节、髋关节、膝关节、踝关节）可分别按一个部位计价；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2.一次部位多次进针的不叠加收费。</w:t>
            </w:r>
          </w:p>
        </w:tc>
        <w:tc>
          <w:tcPr>
            <w:tcW w:w="1086" w:type="dxa"/>
            <w:noWrap w:val="0"/>
            <w:vAlign w:val="center"/>
          </w:tcPr>
          <w:p w14:paraId="1133E10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72.40</w:t>
            </w:r>
          </w:p>
        </w:tc>
        <w:tc>
          <w:tcPr>
            <w:tcW w:w="1137" w:type="dxa"/>
            <w:noWrap w:val="0"/>
            <w:vAlign w:val="center"/>
          </w:tcPr>
          <w:p w14:paraId="1EEE21E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81.50</w:t>
            </w:r>
          </w:p>
        </w:tc>
        <w:tc>
          <w:tcPr>
            <w:tcW w:w="1137" w:type="dxa"/>
            <w:noWrap w:val="0"/>
            <w:vAlign w:val="center"/>
          </w:tcPr>
          <w:p w14:paraId="375438B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90.50</w:t>
            </w:r>
          </w:p>
        </w:tc>
        <w:tc>
          <w:tcPr>
            <w:tcW w:w="792" w:type="dxa"/>
            <w:noWrap w:val="0"/>
            <w:vAlign w:val="center"/>
          </w:tcPr>
          <w:p w14:paraId="5CB1B29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33B2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65" w:type="dxa"/>
            <w:vMerge w:val="continue"/>
            <w:noWrap w:val="0"/>
            <w:vAlign w:val="center"/>
          </w:tcPr>
          <w:p w14:paraId="35BCACFB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noWrap w:val="0"/>
            <w:vAlign w:val="center"/>
          </w:tcPr>
          <w:p w14:paraId="6303617E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16" w:type="dxa"/>
            <w:noWrap w:val="0"/>
            <w:vAlign w:val="center"/>
          </w:tcPr>
          <w:p w14:paraId="2255068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014600000010001</w:t>
            </w:r>
          </w:p>
        </w:tc>
        <w:tc>
          <w:tcPr>
            <w:tcW w:w="1896" w:type="dxa"/>
            <w:noWrap w:val="0"/>
            <w:vAlign w:val="center"/>
          </w:tcPr>
          <w:p w14:paraId="221281A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针刀（钩活）疗法-脊柱针刀疗法（加收）</w:t>
            </w:r>
          </w:p>
        </w:tc>
        <w:tc>
          <w:tcPr>
            <w:tcW w:w="2635" w:type="dxa"/>
            <w:noWrap w:val="0"/>
            <w:vAlign w:val="center"/>
          </w:tcPr>
          <w:p w14:paraId="0E66AE26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6EF7CE14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AD53B26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D1AA256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noWrap w:val="0"/>
            <w:vAlign w:val="center"/>
          </w:tcPr>
          <w:p w14:paraId="3B83C85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2660" w:type="dxa"/>
            <w:noWrap w:val="0"/>
            <w:vAlign w:val="center"/>
          </w:tcPr>
          <w:p w14:paraId="0E62AA60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BF0106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21.80</w:t>
            </w:r>
          </w:p>
        </w:tc>
        <w:tc>
          <w:tcPr>
            <w:tcW w:w="1137" w:type="dxa"/>
            <w:noWrap w:val="0"/>
            <w:vAlign w:val="center"/>
          </w:tcPr>
          <w:p w14:paraId="05BBACA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24.50</w:t>
            </w:r>
          </w:p>
        </w:tc>
        <w:tc>
          <w:tcPr>
            <w:tcW w:w="1137" w:type="dxa"/>
            <w:noWrap w:val="0"/>
            <w:vAlign w:val="center"/>
          </w:tcPr>
          <w:p w14:paraId="0E3A5ED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27.20</w:t>
            </w:r>
          </w:p>
        </w:tc>
        <w:tc>
          <w:tcPr>
            <w:tcW w:w="792" w:type="dxa"/>
            <w:noWrap w:val="0"/>
            <w:vAlign w:val="center"/>
          </w:tcPr>
          <w:p w14:paraId="68E4211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084A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5" w:type="dxa"/>
            <w:noWrap w:val="0"/>
            <w:vAlign w:val="center"/>
          </w:tcPr>
          <w:p w14:paraId="0017C67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noWrap w:val="0"/>
            <w:vAlign w:val="center"/>
          </w:tcPr>
          <w:p w14:paraId="3B2D1CF2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16" w:type="dxa"/>
            <w:noWrap w:val="0"/>
            <w:vAlign w:val="center"/>
          </w:tcPr>
          <w:p w14:paraId="074FFBF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014600000020000</w:t>
            </w:r>
          </w:p>
        </w:tc>
        <w:tc>
          <w:tcPr>
            <w:tcW w:w="1896" w:type="dxa"/>
            <w:noWrap w:val="0"/>
            <w:vAlign w:val="center"/>
          </w:tcPr>
          <w:p w14:paraId="134461B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点穴疗法</w:t>
            </w:r>
          </w:p>
        </w:tc>
        <w:tc>
          <w:tcPr>
            <w:tcW w:w="2635" w:type="dxa"/>
            <w:noWrap w:val="0"/>
            <w:vAlign w:val="center"/>
          </w:tcPr>
          <w:p w14:paraId="021BB45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通过对穴位或局部点压施术，起到缓解症状或治疗疾病的作用。</w:t>
            </w:r>
          </w:p>
        </w:tc>
        <w:tc>
          <w:tcPr>
            <w:tcW w:w="2724" w:type="dxa"/>
            <w:noWrap w:val="0"/>
            <w:vAlign w:val="center"/>
          </w:tcPr>
          <w:p w14:paraId="505CA84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所定价格涵盖定位、施压等人力资源和基本物质资源消耗。</w:t>
            </w:r>
          </w:p>
        </w:tc>
        <w:tc>
          <w:tcPr>
            <w:tcW w:w="1658" w:type="dxa"/>
            <w:noWrap w:val="0"/>
            <w:vAlign w:val="center"/>
          </w:tcPr>
          <w:p w14:paraId="6B347948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5C89031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noWrap w:val="0"/>
            <w:vAlign w:val="center"/>
          </w:tcPr>
          <w:p w14:paraId="2964677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660" w:type="dxa"/>
            <w:noWrap w:val="0"/>
            <w:vAlign w:val="center"/>
          </w:tcPr>
          <w:p w14:paraId="38732F3A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不与同部位中医推拿同时收费。</w:t>
            </w:r>
          </w:p>
        </w:tc>
        <w:tc>
          <w:tcPr>
            <w:tcW w:w="1086" w:type="dxa"/>
            <w:noWrap w:val="0"/>
            <w:vAlign w:val="center"/>
          </w:tcPr>
          <w:p w14:paraId="1947AC0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</w:t>
            </w:r>
          </w:p>
        </w:tc>
        <w:tc>
          <w:tcPr>
            <w:tcW w:w="1137" w:type="dxa"/>
            <w:noWrap w:val="0"/>
            <w:vAlign w:val="center"/>
          </w:tcPr>
          <w:p w14:paraId="3A75B87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1137" w:type="dxa"/>
            <w:noWrap w:val="0"/>
            <w:vAlign w:val="center"/>
          </w:tcPr>
          <w:p w14:paraId="44A72D8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792" w:type="dxa"/>
            <w:noWrap w:val="0"/>
            <w:vAlign w:val="center"/>
          </w:tcPr>
          <w:p w14:paraId="2D944E4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7FF5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5" w:type="dxa"/>
            <w:vMerge w:val="restart"/>
            <w:noWrap w:val="0"/>
            <w:vAlign w:val="center"/>
          </w:tcPr>
          <w:p w14:paraId="50D154A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noWrap w:val="0"/>
            <w:vAlign w:val="center"/>
          </w:tcPr>
          <w:p w14:paraId="2B5C9502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16" w:type="dxa"/>
            <w:noWrap w:val="0"/>
            <w:vAlign w:val="center"/>
          </w:tcPr>
          <w:p w14:paraId="5B05CDA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014600000030000</w:t>
            </w:r>
          </w:p>
        </w:tc>
        <w:tc>
          <w:tcPr>
            <w:tcW w:w="1896" w:type="dxa"/>
            <w:noWrap w:val="0"/>
            <w:vAlign w:val="center"/>
          </w:tcPr>
          <w:p w14:paraId="399416D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中医烙法</w:t>
            </w:r>
          </w:p>
        </w:tc>
        <w:tc>
          <w:tcPr>
            <w:tcW w:w="2635" w:type="dxa"/>
            <w:noWrap w:val="0"/>
            <w:vAlign w:val="center"/>
          </w:tcPr>
          <w:p w14:paraId="260D806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通过烙具烙烫病变部位，起到缓解症状或治疗疾病的作用。</w:t>
            </w:r>
          </w:p>
        </w:tc>
        <w:tc>
          <w:tcPr>
            <w:tcW w:w="2724" w:type="dxa"/>
            <w:noWrap w:val="0"/>
            <w:vAlign w:val="center"/>
          </w:tcPr>
          <w:p w14:paraId="3D66DFB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所定价格涵盖定位、消毒、烙烫等人力资源和基本物质资源消耗。</w:t>
            </w:r>
          </w:p>
        </w:tc>
        <w:tc>
          <w:tcPr>
            <w:tcW w:w="1658" w:type="dxa"/>
            <w:noWrap w:val="0"/>
            <w:vAlign w:val="center"/>
          </w:tcPr>
          <w:p w14:paraId="45BCC4E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605" w:type="dxa"/>
            <w:noWrap w:val="0"/>
            <w:vAlign w:val="center"/>
          </w:tcPr>
          <w:p w14:paraId="7169CB6C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noWrap w:val="0"/>
            <w:vAlign w:val="center"/>
          </w:tcPr>
          <w:p w14:paraId="7597EA3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660" w:type="dxa"/>
            <w:noWrap w:val="0"/>
            <w:vAlign w:val="center"/>
          </w:tcPr>
          <w:p w14:paraId="18D83672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6F7692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128.60</w:t>
            </w:r>
          </w:p>
        </w:tc>
        <w:tc>
          <w:tcPr>
            <w:tcW w:w="1137" w:type="dxa"/>
            <w:noWrap w:val="0"/>
            <w:vAlign w:val="center"/>
          </w:tcPr>
          <w:p w14:paraId="0B5E33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144.70</w:t>
            </w:r>
          </w:p>
        </w:tc>
        <w:tc>
          <w:tcPr>
            <w:tcW w:w="1137" w:type="dxa"/>
            <w:noWrap w:val="0"/>
            <w:vAlign w:val="center"/>
          </w:tcPr>
          <w:p w14:paraId="11113F6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160.80</w:t>
            </w:r>
          </w:p>
        </w:tc>
        <w:tc>
          <w:tcPr>
            <w:tcW w:w="792" w:type="dxa"/>
            <w:noWrap w:val="0"/>
            <w:vAlign w:val="center"/>
          </w:tcPr>
          <w:p w14:paraId="63ECDF4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1E2D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C8FD6A4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84EC178">
            <w:pPr>
              <w:spacing w:line="3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16" w:type="dxa"/>
            <w:noWrap w:val="0"/>
            <w:vAlign w:val="center"/>
          </w:tcPr>
          <w:p w14:paraId="2D73A14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014600000030001</w:t>
            </w:r>
          </w:p>
        </w:tc>
        <w:tc>
          <w:tcPr>
            <w:tcW w:w="1896" w:type="dxa"/>
            <w:noWrap w:val="0"/>
            <w:vAlign w:val="center"/>
          </w:tcPr>
          <w:p w14:paraId="6B45A61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中医烙法-儿童（加收）</w:t>
            </w:r>
          </w:p>
        </w:tc>
        <w:tc>
          <w:tcPr>
            <w:tcW w:w="2635" w:type="dxa"/>
            <w:noWrap w:val="0"/>
            <w:vAlign w:val="center"/>
          </w:tcPr>
          <w:p w14:paraId="6835D497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13390CAC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8494641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EAFE6A2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noWrap w:val="0"/>
            <w:vAlign w:val="center"/>
          </w:tcPr>
          <w:p w14:paraId="7067F2F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660" w:type="dxa"/>
            <w:noWrap w:val="0"/>
            <w:vAlign w:val="center"/>
          </w:tcPr>
          <w:p w14:paraId="06C87A14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5FF67E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38.60</w:t>
            </w:r>
          </w:p>
        </w:tc>
        <w:tc>
          <w:tcPr>
            <w:tcW w:w="1137" w:type="dxa"/>
            <w:noWrap w:val="0"/>
            <w:vAlign w:val="center"/>
          </w:tcPr>
          <w:p w14:paraId="7B8625E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43.40</w:t>
            </w:r>
          </w:p>
        </w:tc>
        <w:tc>
          <w:tcPr>
            <w:tcW w:w="1137" w:type="dxa"/>
            <w:noWrap w:val="0"/>
            <w:vAlign w:val="center"/>
          </w:tcPr>
          <w:p w14:paraId="7751C3D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48.20</w:t>
            </w:r>
          </w:p>
        </w:tc>
        <w:tc>
          <w:tcPr>
            <w:tcW w:w="792" w:type="dxa"/>
            <w:noWrap w:val="0"/>
            <w:vAlign w:val="center"/>
          </w:tcPr>
          <w:p w14:paraId="3E8B6F4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22A0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5" w:type="dxa"/>
            <w:noWrap w:val="0"/>
            <w:vAlign w:val="center"/>
          </w:tcPr>
          <w:p w14:paraId="28E87ED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noWrap w:val="0"/>
            <w:vAlign w:val="center"/>
          </w:tcPr>
          <w:p w14:paraId="748F3E0F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16" w:type="dxa"/>
            <w:noWrap w:val="0"/>
            <w:vAlign w:val="center"/>
          </w:tcPr>
          <w:p w14:paraId="6A43083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014600000040000</w:t>
            </w:r>
          </w:p>
        </w:tc>
        <w:tc>
          <w:tcPr>
            <w:tcW w:w="1896" w:type="dxa"/>
            <w:noWrap w:val="0"/>
            <w:vAlign w:val="center"/>
          </w:tcPr>
          <w:p w14:paraId="718CEC2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2635" w:type="dxa"/>
            <w:noWrap w:val="0"/>
            <w:vAlign w:val="center"/>
          </w:tcPr>
          <w:p w14:paraId="3AC0943E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通过拨障针摘除晶状体混浊部分。</w:t>
            </w:r>
          </w:p>
        </w:tc>
        <w:tc>
          <w:tcPr>
            <w:tcW w:w="2724" w:type="dxa"/>
            <w:noWrap w:val="0"/>
            <w:vAlign w:val="center"/>
          </w:tcPr>
          <w:p w14:paraId="415642AE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所定价格涵盖散瞳、消毒、开睑、切口、拨障针拨断晶状体悬韧带、晶体压入玻璃体腔、出针、闭合切口、包扎等人力资源和基本物质资源消耗。</w:t>
            </w:r>
          </w:p>
        </w:tc>
        <w:tc>
          <w:tcPr>
            <w:tcW w:w="1658" w:type="dxa"/>
            <w:noWrap w:val="0"/>
            <w:vAlign w:val="center"/>
          </w:tcPr>
          <w:p w14:paraId="57D8A7DC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3448E18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noWrap w:val="0"/>
            <w:vAlign w:val="center"/>
          </w:tcPr>
          <w:p w14:paraId="0E9EC8D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单眼</w:t>
            </w:r>
          </w:p>
        </w:tc>
        <w:tc>
          <w:tcPr>
            <w:tcW w:w="2660" w:type="dxa"/>
            <w:noWrap w:val="0"/>
            <w:vAlign w:val="center"/>
          </w:tcPr>
          <w:p w14:paraId="466FBD5D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C8AE56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256.30</w:t>
            </w:r>
          </w:p>
        </w:tc>
        <w:tc>
          <w:tcPr>
            <w:tcW w:w="1137" w:type="dxa"/>
            <w:noWrap w:val="0"/>
            <w:vAlign w:val="center"/>
          </w:tcPr>
          <w:p w14:paraId="0251ED6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288.40</w:t>
            </w:r>
          </w:p>
        </w:tc>
        <w:tc>
          <w:tcPr>
            <w:tcW w:w="1137" w:type="dxa"/>
            <w:noWrap w:val="0"/>
            <w:vAlign w:val="center"/>
          </w:tcPr>
          <w:p w14:paraId="1075C44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320.40</w:t>
            </w:r>
          </w:p>
        </w:tc>
        <w:tc>
          <w:tcPr>
            <w:tcW w:w="792" w:type="dxa"/>
            <w:noWrap w:val="0"/>
            <w:vAlign w:val="center"/>
          </w:tcPr>
          <w:p w14:paraId="23DF780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 w14:paraId="774F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5" w:type="dxa"/>
            <w:noWrap w:val="0"/>
            <w:vAlign w:val="center"/>
          </w:tcPr>
          <w:p w14:paraId="2897ABF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noWrap w:val="0"/>
            <w:vAlign w:val="center"/>
          </w:tcPr>
          <w:p w14:paraId="26DEF51B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16" w:type="dxa"/>
            <w:noWrap w:val="0"/>
            <w:vAlign w:val="center"/>
          </w:tcPr>
          <w:p w14:paraId="5EAF569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014600000050000</w:t>
            </w:r>
          </w:p>
        </w:tc>
        <w:tc>
          <w:tcPr>
            <w:tcW w:w="1896" w:type="dxa"/>
            <w:noWrap w:val="0"/>
            <w:vAlign w:val="center"/>
          </w:tcPr>
          <w:p w14:paraId="53F3C17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足底反射疗法</w:t>
            </w:r>
          </w:p>
        </w:tc>
        <w:tc>
          <w:tcPr>
            <w:tcW w:w="2635" w:type="dxa"/>
            <w:noWrap w:val="0"/>
            <w:vAlign w:val="center"/>
          </w:tcPr>
          <w:p w14:paraId="3551F353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通过手法对足部反射区进行刺激，起到缓解症状或治疗疾病的作用。</w:t>
            </w:r>
          </w:p>
        </w:tc>
        <w:tc>
          <w:tcPr>
            <w:tcW w:w="2724" w:type="dxa"/>
            <w:noWrap w:val="0"/>
            <w:vAlign w:val="center"/>
          </w:tcPr>
          <w:p w14:paraId="75FDFCA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所定价格涵盖泡洗、定位、穴位刺激等人力资源和基本物质资源消耗。</w:t>
            </w:r>
          </w:p>
        </w:tc>
        <w:tc>
          <w:tcPr>
            <w:tcW w:w="1658" w:type="dxa"/>
            <w:noWrap w:val="0"/>
            <w:vAlign w:val="center"/>
          </w:tcPr>
          <w:p w14:paraId="1637B8B0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F61D3E0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noWrap w:val="0"/>
            <w:vAlign w:val="center"/>
          </w:tcPr>
          <w:p w14:paraId="4EBEACD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660" w:type="dxa"/>
            <w:noWrap w:val="0"/>
            <w:vAlign w:val="center"/>
          </w:tcPr>
          <w:p w14:paraId="616F2EA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不与中医推拿同时收费。</w:t>
            </w:r>
          </w:p>
        </w:tc>
        <w:tc>
          <w:tcPr>
            <w:tcW w:w="1086" w:type="dxa"/>
            <w:noWrap w:val="0"/>
            <w:vAlign w:val="center"/>
          </w:tcPr>
          <w:p w14:paraId="251769F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23.70</w:t>
            </w:r>
          </w:p>
        </w:tc>
        <w:tc>
          <w:tcPr>
            <w:tcW w:w="1137" w:type="dxa"/>
            <w:noWrap w:val="0"/>
            <w:vAlign w:val="center"/>
          </w:tcPr>
          <w:p w14:paraId="4290B02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26.60</w:t>
            </w:r>
          </w:p>
        </w:tc>
        <w:tc>
          <w:tcPr>
            <w:tcW w:w="1137" w:type="dxa"/>
            <w:noWrap w:val="0"/>
            <w:vAlign w:val="center"/>
          </w:tcPr>
          <w:p w14:paraId="0391945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</w:t>
            </w:r>
          </w:p>
        </w:tc>
        <w:tc>
          <w:tcPr>
            <w:tcW w:w="792" w:type="dxa"/>
            <w:noWrap w:val="0"/>
            <w:vAlign w:val="center"/>
          </w:tcPr>
          <w:p w14:paraId="231CA87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自费</w:t>
            </w:r>
          </w:p>
        </w:tc>
      </w:tr>
      <w:tr w14:paraId="3E22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65" w:type="dxa"/>
            <w:noWrap w:val="0"/>
            <w:vAlign w:val="center"/>
          </w:tcPr>
          <w:p w14:paraId="55BAD81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noWrap w:val="0"/>
            <w:vAlign w:val="center"/>
          </w:tcPr>
          <w:p w14:paraId="72332230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治疗费</w:t>
            </w:r>
          </w:p>
        </w:tc>
        <w:tc>
          <w:tcPr>
            <w:tcW w:w="2016" w:type="dxa"/>
            <w:noWrap w:val="0"/>
            <w:vAlign w:val="center"/>
          </w:tcPr>
          <w:p w14:paraId="20C9032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014600000060000</w:t>
            </w:r>
          </w:p>
        </w:tc>
        <w:tc>
          <w:tcPr>
            <w:tcW w:w="1896" w:type="dxa"/>
            <w:noWrap w:val="0"/>
            <w:vAlign w:val="center"/>
          </w:tcPr>
          <w:p w14:paraId="7EE151D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红皮病清消治疗</w:t>
            </w:r>
          </w:p>
        </w:tc>
        <w:tc>
          <w:tcPr>
            <w:tcW w:w="2635" w:type="dxa"/>
            <w:noWrap w:val="0"/>
            <w:vAlign w:val="center"/>
          </w:tcPr>
          <w:p w14:paraId="37DA846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针对红皮病病变部位进行清创处理、中药外敷，起到促进皮损愈合的作用。</w:t>
            </w:r>
          </w:p>
        </w:tc>
        <w:tc>
          <w:tcPr>
            <w:tcW w:w="2724" w:type="dxa"/>
            <w:noWrap w:val="0"/>
            <w:vAlign w:val="center"/>
          </w:tcPr>
          <w:p w14:paraId="54B24CCE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所定价格涵盖消毒、清创、敷药、包扎等人力资源和基本物质资源消耗。</w:t>
            </w:r>
          </w:p>
        </w:tc>
        <w:tc>
          <w:tcPr>
            <w:tcW w:w="1658" w:type="dxa"/>
            <w:noWrap w:val="0"/>
            <w:vAlign w:val="center"/>
          </w:tcPr>
          <w:p w14:paraId="652C7843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5D57BAE">
            <w:pPr>
              <w:spacing w:line="360" w:lineRule="exact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noWrap w:val="0"/>
            <w:vAlign w:val="center"/>
          </w:tcPr>
          <w:p w14:paraId="1E9D7F3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660" w:type="dxa"/>
            <w:noWrap w:val="0"/>
            <w:vAlign w:val="center"/>
          </w:tcPr>
          <w:p w14:paraId="6B57D058">
            <w:pPr>
              <w:spacing w:line="360" w:lineRule="exact"/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96CD61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51.80</w:t>
            </w:r>
          </w:p>
        </w:tc>
        <w:tc>
          <w:tcPr>
            <w:tcW w:w="1137" w:type="dxa"/>
            <w:noWrap w:val="0"/>
            <w:vAlign w:val="center"/>
          </w:tcPr>
          <w:p w14:paraId="02CDBE3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58.30</w:t>
            </w:r>
          </w:p>
        </w:tc>
        <w:tc>
          <w:tcPr>
            <w:tcW w:w="1137" w:type="dxa"/>
            <w:noWrap w:val="0"/>
            <w:vAlign w:val="center"/>
          </w:tcPr>
          <w:p w14:paraId="1F613B6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64.80</w:t>
            </w:r>
          </w:p>
        </w:tc>
        <w:tc>
          <w:tcPr>
            <w:tcW w:w="792" w:type="dxa"/>
            <w:noWrap w:val="0"/>
            <w:vAlign w:val="center"/>
          </w:tcPr>
          <w:p w14:paraId="4447037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</w:tbl>
    <w:p w14:paraId="629CF00C">
      <w:pPr>
        <w:rPr>
          <w:rFonts w:hint="eastAsia"/>
          <w:lang w:val="en-US" w:eastAsia="zh-CN"/>
        </w:rPr>
      </w:pPr>
    </w:p>
    <w:p w14:paraId="6E0AF0CA">
      <w:pPr>
        <w:pStyle w:val="2"/>
        <w:rPr>
          <w:rFonts w:hint="eastAsia"/>
          <w:lang w:val="en-US" w:eastAsia="zh-CN"/>
        </w:rPr>
      </w:pPr>
    </w:p>
    <w:p w14:paraId="445FC1C2"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ECC553-3DAF-40D7-B40C-6660A660FA2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9C60251-1376-4EF7-B899-96423CCFF49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3BA3509-DCA1-4FE2-AAE4-753E859A1A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334E26E-BCDE-4280-B2F7-FE84581C66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F52DC"/>
    <w:rsid w:val="361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8">
    <w:name w:val="font5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2025-12-17T09:51:00Z</dcterms:created>
  <dc:creator>Jeuin</dc:creator>
  <cp:lastModifiedBy>Jeuin</cp:lastModifiedBy>
  <dcterms:modified xsi:type="dcterms:W3CDTF">2025-12-17T09:52:44Z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FAFAAF4B75DC4C72B78FF3562681401F_11</vt:lpwstr>
  </property>
  <property fmtid="{D5CDD505-2E9C-101B-9397-08002B2CF9AE}" pid="4" name="KSOTemplateDocerSaveRecord">
    <vt:lpwstr>eyJoZGlkIjoiNjBlOTY2MTk4ZGExNTQxNWY1NWZhYjRhYTk1NWJhYjIiLCJ1c2VySWQiOiI2NDIyMTMyNjUifQ==</vt:lpwstr>
  </property>
</Properties>
</file>